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OLE_LINK111"/>
      <w:r>
        <w:rPr>
          <w:rFonts w:ascii="Arial" w:hAnsi="Arial" w:cs="Arial"/>
          <w:b/>
          <w:sz w:val="24"/>
          <w:szCs w:val="24"/>
        </w:rPr>
        <w:t>3GPP TSG-RAN WG4 Meeting # 106bis</w:t>
      </w:r>
      <w:r>
        <w:rPr>
          <w:rFonts w:hint="eastAsia" w:ascii="Arial" w:hAnsi="Arial" w:cs="Arial"/>
          <w:b/>
          <w:sz w:val="24"/>
          <w:szCs w:val="24"/>
        </w:rPr>
        <w:t>-</w:t>
      </w:r>
      <w:r>
        <w:rPr>
          <w:rFonts w:ascii="Arial" w:hAnsi="Arial" w:cs="Arial"/>
          <w:b/>
          <w:sz w:val="24"/>
          <w:szCs w:val="24"/>
        </w:rPr>
        <w:t>e</w:t>
      </w:r>
      <w:r>
        <w:rPr>
          <w:rFonts w:hint="eastAsia" w:ascii="Arial" w:hAnsi="Arial" w:cs="Arial"/>
          <w:b/>
          <w:sz w:val="24"/>
          <w:szCs w:val="24"/>
        </w:rPr>
        <w:t xml:space="preserve">                              </w:t>
      </w:r>
      <w:bookmarkStart w:id="58" w:name="_GoBack"/>
      <w:r>
        <w:rPr>
          <w:rFonts w:hint="eastAsia" w:ascii="Arial" w:hAnsi="Arial" w:cs="Arial"/>
          <w:b/>
          <w:sz w:val="24"/>
          <w:szCs w:val="24"/>
        </w:rPr>
        <w:t>R4-23051</w:t>
      </w:r>
      <w:r>
        <w:rPr>
          <w:rFonts w:hint="eastAsia" w:ascii="Arial" w:hAnsi="Arial" w:cs="Arial"/>
          <w:b/>
          <w:sz w:val="24"/>
          <w:szCs w:val="24"/>
          <w:lang w:val="en-US" w:eastAsia="zh-CN"/>
        </w:rPr>
        <w:t>30</w:t>
      </w:r>
      <w:bookmarkEnd w:id="58"/>
    </w:p>
    <w:p>
      <w:pPr>
        <w:pStyle w:val="16"/>
        <w:keepNext/>
        <w:keepLines/>
        <w:tabs>
          <w:tab w:val="right" w:pos="10440"/>
          <w:tab w:val="right" w:pos="13323"/>
          <w:tab w:val="clear" w:pos="4680"/>
          <w:tab w:val="clear" w:pos="9360"/>
        </w:tabs>
        <w:spacing w:beforeLines="0" w:afterLines="0"/>
        <w:outlineLvl w:val="0"/>
        <w:rPr>
          <w:rFonts w:ascii="Arial" w:hAnsi="Arial" w:cs="Arial"/>
          <w:b/>
          <w:sz w:val="24"/>
          <w:szCs w:val="24"/>
        </w:rPr>
      </w:pPr>
      <w:r>
        <w:rPr>
          <w:rFonts w:ascii="Arial" w:hAnsi="Arial" w:cs="Arial"/>
          <w:b/>
          <w:sz w:val="24"/>
          <w:szCs w:val="24"/>
        </w:rPr>
        <w:t>Online, April 17 – April 26, 2023</w:t>
      </w:r>
    </w:p>
    <w:bookmarkEnd w:id="0"/>
    <w:p>
      <w:pPr>
        <w:pStyle w:val="16"/>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0"/>
          <w:szCs w:val="20"/>
          <w:highlight w:val="none"/>
          <w:lang w:val="en-US" w:eastAsia="zh-CN"/>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sz w:val="20"/>
          <w:szCs w:val="20"/>
          <w:highlight w:val="none"/>
          <w:lang w:val="en-US" w:eastAsia="zh-CN"/>
        </w:rPr>
      </w:pPr>
      <w:r>
        <w:rPr>
          <w:rFonts w:ascii="Arial" w:hAnsi="Arial"/>
          <w:b/>
          <w:sz w:val="20"/>
          <w:szCs w:val="20"/>
          <w:highlight w:val="none"/>
          <w:lang w:val="pt-BR"/>
        </w:rPr>
        <w:t xml:space="preserve">Title: </w:t>
      </w:r>
      <w:r>
        <w:rPr>
          <w:rFonts w:ascii="Arial" w:hAnsi="Arial"/>
          <w:b/>
          <w:sz w:val="20"/>
          <w:szCs w:val="20"/>
          <w:highlight w:val="none"/>
          <w:lang w:val="pt-BR"/>
        </w:rPr>
        <w:tab/>
      </w:r>
      <w:bookmarkStart w:id="1" w:name="OLE_LINK40"/>
      <w:r>
        <w:rPr>
          <w:rStyle w:val="60"/>
          <w:rFonts w:hint="eastAsia"/>
          <w:b/>
          <w:sz w:val="20"/>
          <w:szCs w:val="20"/>
          <w:highlight w:val="none"/>
          <w:lang w:val="en-US" w:eastAsia="zh-CN"/>
        </w:rPr>
        <w:t>O</w:t>
      </w:r>
      <w:r>
        <w:rPr>
          <w:rStyle w:val="60"/>
          <w:rFonts w:hint="eastAsia"/>
          <w:b/>
          <w:sz w:val="20"/>
          <w:szCs w:val="20"/>
          <w:highlight w:val="none"/>
          <w:lang w:val="pt-BR" w:eastAsia="zh-CN"/>
        </w:rPr>
        <w:t>n low</w:t>
      </w:r>
      <w:r>
        <w:rPr>
          <w:rStyle w:val="60"/>
          <w:rFonts w:hint="eastAsia"/>
          <w:b/>
          <w:sz w:val="20"/>
          <w:szCs w:val="20"/>
          <w:highlight w:val="none"/>
          <w:lang w:val="en-US" w:eastAsia="zh-CN"/>
        </w:rPr>
        <w:t>er</w:t>
      </w:r>
      <w:r>
        <w:rPr>
          <w:rStyle w:val="60"/>
          <w:rFonts w:hint="eastAsia"/>
          <w:b/>
          <w:sz w:val="20"/>
          <w:szCs w:val="20"/>
          <w:highlight w:val="none"/>
          <w:lang w:val="pt-BR" w:eastAsia="zh-CN"/>
        </w:rPr>
        <w:t xml:space="preserve"> MSD</w:t>
      </w:r>
      <w:r>
        <w:rPr>
          <w:rStyle w:val="60"/>
          <w:rFonts w:hint="eastAsia"/>
          <w:b/>
          <w:sz w:val="20"/>
          <w:szCs w:val="20"/>
          <w:highlight w:val="none"/>
          <w:lang w:val="en-US" w:eastAsia="zh-CN"/>
        </w:rPr>
        <w:t xml:space="preserve"> for inter-band CA/ENDC</w:t>
      </w:r>
      <w:bookmarkEnd w:id="1"/>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sz w:val="20"/>
          <w:szCs w:val="20"/>
          <w:highlight w:val="none"/>
          <w:lang w:val="en-US" w:eastAsia="zh-CN"/>
        </w:rPr>
      </w:pPr>
      <w:r>
        <w:rPr>
          <w:rStyle w:val="60"/>
          <w:rFonts w:hint="eastAsia"/>
          <w:b/>
          <w:sz w:val="20"/>
          <w:szCs w:val="20"/>
          <w:highlight w:val="none"/>
          <w:lang w:val="en-US" w:eastAsia="zh-CN"/>
        </w:rPr>
        <w:t xml:space="preserve">Source: </w:t>
      </w:r>
      <w:r>
        <w:rPr>
          <w:rStyle w:val="60"/>
          <w:rFonts w:hint="eastAsia"/>
          <w:b/>
          <w:sz w:val="20"/>
          <w:szCs w:val="20"/>
          <w:highlight w:val="none"/>
          <w:lang w:val="en-US" w:eastAsia="zh-CN"/>
        </w:rPr>
        <w:tab/>
      </w:r>
      <w:r>
        <w:rPr>
          <w:rStyle w:val="60"/>
          <w:rFonts w:hint="eastAsia"/>
          <w:b/>
          <w:sz w:val="20"/>
          <w:szCs w:val="20"/>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sz w:val="20"/>
          <w:szCs w:val="20"/>
          <w:highlight w:val="none"/>
          <w:lang w:val="en-US" w:eastAsia="zh-CN"/>
        </w:rPr>
      </w:pPr>
      <w:r>
        <w:rPr>
          <w:rStyle w:val="60"/>
          <w:rFonts w:hint="eastAsia"/>
          <w:b/>
          <w:sz w:val="20"/>
          <w:szCs w:val="20"/>
          <w:highlight w:val="none"/>
          <w:lang w:val="pt-BR" w:eastAsia="zh-CN"/>
        </w:rPr>
        <w:t>Agenda item:</w:t>
      </w:r>
      <w:r>
        <w:rPr>
          <w:rStyle w:val="60"/>
          <w:rFonts w:hint="eastAsia"/>
          <w:b/>
          <w:sz w:val="20"/>
          <w:szCs w:val="20"/>
          <w:highlight w:val="none"/>
          <w:lang w:val="pt-BR" w:eastAsia="zh-CN"/>
        </w:rPr>
        <w:tab/>
      </w:r>
      <w:r>
        <w:rPr>
          <w:rStyle w:val="60"/>
          <w:rFonts w:hint="eastAsia"/>
          <w:b/>
          <w:sz w:val="20"/>
          <w:szCs w:val="20"/>
          <w:highlight w:val="none"/>
          <w:lang w:val="en-US" w:eastAsia="zh-CN"/>
        </w:rPr>
        <w:t>5.5.2.3.1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0"/>
          <w:szCs w:val="20"/>
          <w:highlight w:val="none"/>
          <w:lang w:val="pt-BR" w:eastAsia="zh-CN"/>
        </w:rPr>
      </w:pPr>
      <w:r>
        <w:rPr>
          <w:rStyle w:val="60"/>
          <w:rFonts w:hint="eastAsia"/>
          <w:b/>
          <w:sz w:val="20"/>
          <w:szCs w:val="20"/>
          <w:highlight w:val="none"/>
          <w:lang w:val="pt-BR" w:eastAsia="zh-CN"/>
        </w:rPr>
        <w:t>Document for:</w:t>
      </w:r>
      <w:r>
        <w:rPr>
          <w:rStyle w:val="60"/>
          <w:rFonts w:hint="eastAsia"/>
          <w:b/>
          <w:sz w:val="20"/>
          <w:szCs w:val="20"/>
          <w:highlight w:val="none"/>
          <w:lang w:val="pt-BR" w:eastAsia="zh-CN"/>
        </w:rPr>
        <w:tab/>
      </w:r>
      <w:r>
        <w:rPr>
          <w:rStyle w:val="60"/>
          <w:rFonts w:hint="eastAsia"/>
          <w:b/>
          <w:sz w:val="20"/>
          <w:szCs w:val="20"/>
          <w:highlight w:val="none"/>
          <w:lang w:val="en-US" w:eastAsia="zh-CN"/>
        </w:rPr>
        <w:t>Approval</w:t>
      </w:r>
    </w:p>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rPr>
          <w:rFonts w:hint="default"/>
          <w:bCs/>
          <w:kern w:val="0"/>
          <w:sz w:val="20"/>
          <w:szCs w:val="20"/>
          <w:highlight w:val="none"/>
          <w:lang w:val="en-US" w:eastAsia="zh-CN"/>
        </w:rPr>
      </w:pPr>
      <w:bookmarkStart w:id="2" w:name="OLE_LINK25"/>
      <w:r>
        <w:rPr>
          <w:rFonts w:hint="eastAsia"/>
          <w:bCs/>
          <w:kern w:val="0"/>
          <w:sz w:val="20"/>
          <w:szCs w:val="20"/>
          <w:highlight w:val="none"/>
          <w:lang w:val="en-US" w:eastAsia="zh-CN"/>
        </w:rPr>
        <w:t xml:space="preserve">The lower MSD topic was extensive discussed in the previous RA4 meetings, and several WFs were approved [1] [2] [3] [4]. In last RAN#99 meeting, the WID was revised [7] to confirm the feasibility on the lower MSD, and continue studying the signalling aspect and to define the UE RF requirements based on the outcomes. </w:t>
      </w:r>
    </w:p>
    <w:p>
      <w:pPr>
        <w:rPr>
          <w:rFonts w:hint="default"/>
          <w:bCs/>
          <w:kern w:val="0"/>
          <w:sz w:val="20"/>
          <w:szCs w:val="20"/>
          <w:highlight w:val="none"/>
          <w:lang w:val="en-US" w:eastAsia="zh-CN"/>
        </w:rPr>
      </w:pPr>
      <w:r>
        <w:rPr>
          <w:rFonts w:hint="eastAsia"/>
          <w:bCs/>
          <w:kern w:val="0"/>
          <w:sz w:val="20"/>
          <w:szCs w:val="20"/>
          <w:highlight w:val="none"/>
          <w:lang w:val="en-US" w:eastAsia="zh-CN"/>
        </w:rPr>
        <w:t>In this contribution, we continue to discussed some issues about the lower MSD issues.</w:t>
      </w:r>
    </w:p>
    <w:bookmarkEnd w:id="2"/>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val="0"/>
          <w:bCs/>
          <w:kern w:val="2"/>
          <w:sz w:val="20"/>
          <w:szCs w:val="20"/>
          <w:highlight w:val="none"/>
          <w:u w:val="none"/>
          <w:lang w:val="en-US" w:eastAsia="zh-CN" w:bidi="ar-SA"/>
        </w:rPr>
      </w:pPr>
      <w:bookmarkStart w:id="3" w:name="OLE_LINK21"/>
      <w:bookmarkStart w:id="4" w:name="OLE_LINK71"/>
      <w:bookmarkStart w:id="5" w:name="OLE_LINK23"/>
      <w:bookmarkStart w:id="6" w:name="OLE_LINK66"/>
      <w:r>
        <w:rPr>
          <w:rFonts w:hint="eastAsia" w:cs="Times New Roman"/>
          <w:b/>
          <w:kern w:val="2"/>
          <w:sz w:val="20"/>
          <w:szCs w:val="20"/>
          <w:highlight w:val="none"/>
          <w:u w:val="single"/>
          <w:lang w:val="en-US" w:eastAsia="zh-CN" w:bidi="ar-SA"/>
        </w:rPr>
        <w:t>2.1 Conditions to indicate the lower MSD capability threshold(s)</w:t>
      </w:r>
    </w:p>
    <w:bookmarkEnd w:id="3"/>
    <w:p>
      <w:pPr>
        <w:pageBreakBefore w:val="0"/>
        <w:widowControl w:val="0"/>
        <w:kinsoku/>
        <w:wordWrap/>
        <w:topLinePunct w:val="0"/>
        <w:bidi w:val="0"/>
        <w:spacing w:before="120" w:after="120" w:line="240" w:lineRule="auto"/>
        <w:rPr>
          <w:rFonts w:hint="default" w:eastAsia="等线"/>
          <w:sz w:val="20"/>
          <w:szCs w:val="20"/>
          <w:highlight w:val="none"/>
          <w:lang w:val="en-US" w:eastAsia="zh-CN"/>
        </w:rPr>
      </w:pPr>
      <w:r>
        <w:rPr>
          <w:rFonts w:hint="eastAsia" w:eastAsia="等线"/>
          <w:sz w:val="20"/>
          <w:szCs w:val="20"/>
          <w:highlight w:val="none"/>
          <w:lang w:val="en-US" w:eastAsia="zh-CN"/>
        </w:rPr>
        <w:t xml:space="preserve">In the WF [4], it was already agreed that UE could </w:t>
      </w:r>
      <w:r>
        <w:rPr>
          <w:rFonts w:hint="eastAsia" w:ascii="Times New Roman" w:hAnsi="Times New Roman" w:eastAsia="等线" w:cs="Times New Roman"/>
          <w:sz w:val="20"/>
          <w:szCs w:val="20"/>
          <w:highlight w:val="none"/>
          <w:lang w:val="en-US" w:eastAsia="zh-CN" w:bidi="ar-SA"/>
        </w:rPr>
        <w:t>indicate Lower MSD capability for a band combination as long as one kind of MSD from one victim band is improved</w:t>
      </w:r>
      <w:r>
        <w:rPr>
          <w:rFonts w:hint="eastAsia" w:eastAsia="等线" w:cs="Times New Roman"/>
          <w:sz w:val="20"/>
          <w:szCs w:val="20"/>
          <w:highlight w:val="none"/>
          <w:lang w:val="en-US" w:eastAsia="zh-CN" w:bidi="ar-SA"/>
        </w:rPr>
        <w:t>. However, how much the improved MSD is still FFS.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b/>
                <w:kern w:val="0"/>
                <w:sz w:val="20"/>
                <w:u w:val="single"/>
                <w:lang w:val="en-GB" w:eastAsia="en-US"/>
              </w:rPr>
            </w:pPr>
            <w:r>
              <w:rPr>
                <w:rFonts w:ascii="Times New Roman" w:hAnsi="Times New Roman" w:eastAsia="宋体" w:cs="Times New Roman"/>
                <w:b/>
                <w:kern w:val="0"/>
                <w:sz w:val="20"/>
                <w:u w:val="single"/>
                <w:lang w:val="en-GB" w:eastAsia="en-US"/>
              </w:rPr>
              <w:t>Issue 2-1-2: Conditions to indicate the lower MSD capability</w:t>
            </w:r>
          </w:p>
          <w:p>
            <w:pPr>
              <w:overflowPunct w:val="0"/>
              <w:autoSpaceDE w:val="0"/>
              <w:autoSpaceDN w:val="0"/>
              <w:adjustRightInd w:val="0"/>
              <w:spacing w:before="120" w:beforeLines="-2147483648" w:after="0" w:afterLines="-2147483648" w:line="240" w:lineRule="auto"/>
              <w:jc w:val="both"/>
              <w:textAlignment w:val="baseline"/>
              <w:rPr>
                <w:rFonts w:ascii="Times New Roman" w:hAnsi="Times New Roman" w:eastAsia="宋体" w:cs="Times New Roman"/>
                <w:b/>
                <w:i/>
                <w:kern w:val="0"/>
                <w:sz w:val="20"/>
                <w:lang w:val="en-GB" w:eastAsia="en-US"/>
              </w:rPr>
            </w:pPr>
            <w:r>
              <w:rPr>
                <w:rFonts w:ascii="Times New Roman" w:hAnsi="Times New Roman" w:eastAsia="宋体" w:cs="Times New Roman"/>
                <w:b/>
                <w:i/>
                <w:kern w:val="0"/>
                <w:sz w:val="20"/>
                <w:lang w:val="en-GB" w:eastAsia="en-US"/>
              </w:rPr>
              <w:t xml:space="preserve">Option 1: UE could indicate Lower MSD capability for a band combination as long as one kind of MSD from one victim band is improved. Additionally, it is unnecessary to report the Lower MSD values in case the specified MSD itself is small or the MSD improvement is not significant. However, if UE is willing to report the values under these cases, it should not be prohibited. </w:t>
            </w:r>
          </w:p>
          <w:p>
            <w:pPr>
              <w:overflowPunct w:val="0"/>
              <w:autoSpaceDE w:val="0"/>
              <w:autoSpaceDN w:val="0"/>
              <w:adjustRightInd w:val="0"/>
              <w:spacing w:before="120" w:beforeLines="-2147483648" w:after="0" w:afterLines="-2147483648" w:line="240" w:lineRule="auto"/>
              <w:jc w:val="both"/>
              <w:textAlignment w:val="baseline"/>
              <w:rPr>
                <w:rFonts w:ascii="Times New Roman" w:hAnsi="Times New Roman" w:eastAsia="宋体" w:cs="Times New Roman"/>
                <w:b/>
                <w:i/>
                <w:kern w:val="0"/>
                <w:sz w:val="20"/>
                <w:lang w:val="en-GB" w:eastAsia="en-US"/>
              </w:rPr>
            </w:pPr>
            <w:r>
              <w:rPr>
                <w:rFonts w:ascii="Times New Roman" w:hAnsi="Times New Roman" w:eastAsia="宋体" w:cs="Times New Roman"/>
                <w:b/>
                <w:i/>
                <w:kern w:val="0"/>
                <w:sz w:val="20"/>
                <w:lang w:val="en-GB" w:eastAsia="en-US"/>
              </w:rPr>
              <w:t xml:space="preserve">Option 2: measures must be discussed to </w:t>
            </w:r>
            <w:bookmarkStart w:id="7" w:name="OLE_LINK20"/>
            <w:r>
              <w:rPr>
                <w:rFonts w:ascii="Times New Roman" w:hAnsi="Times New Roman" w:eastAsia="宋体" w:cs="Times New Roman"/>
                <w:b/>
                <w:i/>
                <w:kern w:val="0"/>
                <w:sz w:val="20"/>
                <w:lang w:val="en-GB" w:eastAsia="en-US"/>
              </w:rPr>
              <w:t xml:space="preserve">avoid a situation that UE can report lower MSD capability without any actual improvement. </w:t>
            </w:r>
          </w:p>
          <w:bookmarkEnd w:id="7"/>
          <w:p>
            <w:pPr>
              <w:overflowPunct w:val="0"/>
              <w:autoSpaceDE w:val="0"/>
              <w:autoSpaceDN w:val="0"/>
              <w:adjustRightInd w:val="0"/>
              <w:spacing w:before="120" w:beforeLines="-2147483648" w:after="0" w:afterLines="-2147483648" w:line="240" w:lineRule="auto"/>
              <w:jc w:val="both"/>
              <w:textAlignment w:val="baseline"/>
              <w:rPr>
                <w:rFonts w:ascii="Times New Roman" w:hAnsi="Times New Roman" w:eastAsia="宋体" w:cs="Times New Roman"/>
                <w:b/>
                <w:i/>
                <w:kern w:val="0"/>
                <w:sz w:val="20"/>
                <w:lang w:val="en-GB" w:eastAsia="en-US"/>
              </w:rPr>
            </w:pPr>
            <w:r>
              <w:rPr>
                <w:rFonts w:ascii="Times New Roman" w:hAnsi="Times New Roman" w:eastAsia="宋体" w:cs="Times New Roman"/>
                <w:b/>
                <w:i/>
                <w:kern w:val="0"/>
                <w:sz w:val="20"/>
                <w:lang w:val="en-GB" w:eastAsia="en-US"/>
              </w:rPr>
              <w:t xml:space="preserve">Option 3: UE report improved MSD as long as the real MSD is below the largest value range, for example 20dB. The band combinations with less than [5dB] MSD requirements in the spec doesn’t need to report the improved MSD. </w:t>
            </w:r>
          </w:p>
          <w:p>
            <w:pPr>
              <w:overflowPunct w:val="0"/>
              <w:autoSpaceDE w:val="0"/>
              <w:autoSpaceDN w:val="0"/>
              <w:adjustRightInd w:val="0"/>
              <w:spacing w:before="120" w:beforeLines="-2147483648" w:after="0" w:afterLines="-2147483648" w:line="240" w:lineRule="auto"/>
              <w:jc w:val="both"/>
              <w:textAlignment w:val="baseline"/>
              <w:rPr>
                <w:rFonts w:ascii="Times New Roman" w:hAnsi="Times New Roman" w:eastAsia="宋体" w:cs="Times New Roman"/>
                <w:b/>
                <w:i/>
                <w:kern w:val="0"/>
                <w:sz w:val="20"/>
                <w:lang w:val="en-GB" w:eastAsia="zh-CN"/>
              </w:rPr>
            </w:pPr>
            <w:r>
              <w:rPr>
                <w:rFonts w:hint="eastAsia" w:ascii="Times New Roman" w:hAnsi="Times New Roman" w:eastAsia="宋体" w:cs="Times New Roman"/>
                <w:b/>
                <w:i/>
                <w:kern w:val="0"/>
                <w:sz w:val="20"/>
                <w:lang w:val="en-GB" w:eastAsia="zh-CN"/>
              </w:rPr>
              <w:t>Option</w:t>
            </w:r>
            <w:r>
              <w:rPr>
                <w:rFonts w:ascii="Times New Roman" w:hAnsi="Times New Roman" w:eastAsia="宋体" w:cs="Times New Roman"/>
                <w:b/>
                <w:i/>
                <w:kern w:val="0"/>
                <w:sz w:val="20"/>
                <w:lang w:val="en-GB" w:eastAsia="zh-CN"/>
              </w:rPr>
              <w:t xml:space="preserve"> 4: Others</w:t>
            </w:r>
          </w:p>
          <w:p>
            <w:pPr>
              <w:overflowPunct w:val="0"/>
              <w:autoSpaceDE w:val="0"/>
              <w:autoSpaceDN w:val="0"/>
              <w:adjustRightInd w:val="0"/>
              <w:spacing w:before="120" w:beforeLines="-2147483648" w:after="0" w:afterLines="-2147483648" w:line="240" w:lineRule="auto"/>
              <w:jc w:val="both"/>
              <w:textAlignment w:val="baseline"/>
              <w:rPr>
                <w:rFonts w:hint="eastAsia" w:ascii="Times New Roman" w:hAnsi="Times New Roman" w:eastAsia="宋体" w:cs="Times New Roman"/>
                <w:b/>
                <w:i/>
                <w:kern w:val="0"/>
                <w:sz w:val="20"/>
                <w:lang w:val="en-GB" w:eastAsia="zh-CN"/>
              </w:rPr>
            </w:pPr>
          </w:p>
          <w:p>
            <w:pPr>
              <w:numPr>
                <w:ilvl w:val="0"/>
                <w:numId w:val="8"/>
              </w:numPr>
              <w:overflowPunct w:val="0"/>
              <w:autoSpaceDE w:val="0"/>
              <w:autoSpaceDN w:val="0"/>
              <w:adjustRightInd w:val="0"/>
              <w:snapToGrid w:val="0"/>
              <w:spacing w:after="100"/>
              <w:ind w:left="284" w:hanging="284"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WF</w:t>
            </w:r>
          </w:p>
          <w:p>
            <w:pPr>
              <w:numPr>
                <w:ilvl w:val="0"/>
                <w:numId w:val="9"/>
              </w:numPr>
              <w:overflowPunct w:val="0"/>
              <w:autoSpaceDE w:val="0"/>
              <w:autoSpaceDN w:val="0"/>
              <w:adjustRightInd w:val="0"/>
              <w:spacing w:after="0"/>
              <w:ind w:left="420" w:hanging="420"/>
              <w:jc w:val="both"/>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UE could</w:t>
            </w:r>
            <w:bookmarkStart w:id="8" w:name="OLE_LINK12"/>
            <w:r>
              <w:rPr>
                <w:rFonts w:ascii="Times New Roman" w:hAnsi="Times New Roman" w:eastAsia="宋体" w:cs="Times New Roman"/>
                <w:szCs w:val="20"/>
                <w:lang w:val="en-US" w:eastAsia="zh-CN" w:bidi="ar-SA"/>
              </w:rPr>
              <w:t xml:space="preserve"> indicate Lower MSD capability for a band combination as long as one kind of MSD from one victim band is improved</w:t>
            </w:r>
            <w:bookmarkEnd w:id="8"/>
            <w:r>
              <w:rPr>
                <w:rFonts w:ascii="Times New Roman" w:hAnsi="Times New Roman" w:eastAsia="宋体" w:cs="Times New Roman"/>
                <w:szCs w:val="20"/>
                <w:lang w:val="en-US" w:eastAsia="zh-CN" w:bidi="ar-SA"/>
              </w:rPr>
              <w:t>.</w:t>
            </w:r>
          </w:p>
          <w:p>
            <w:pPr>
              <w:numPr>
                <w:ilvl w:val="0"/>
                <w:numId w:val="10"/>
              </w:numPr>
              <w:overflowPunct w:val="0"/>
              <w:autoSpaceDE w:val="0"/>
              <w:autoSpaceDN w:val="0"/>
              <w:adjustRightInd w:val="0"/>
              <w:spacing w:after="180"/>
              <w:ind w:left="820" w:hanging="420" w:firstLineChars="0"/>
              <w:textAlignment w:val="baseline"/>
              <w:rPr>
                <w:rFonts w:hint="eastAsia" w:eastAsia="等线"/>
                <w:sz w:val="20"/>
                <w:szCs w:val="20"/>
                <w:highlight w:val="none"/>
                <w:vertAlign w:val="baseline"/>
                <w:lang w:val="en-US" w:eastAsia="zh-CN"/>
              </w:rPr>
            </w:pPr>
            <w:r>
              <w:rPr>
                <w:rFonts w:hint="eastAsia" w:ascii="Times New Roman" w:hAnsi="Times New Roman" w:eastAsia="宋体" w:cs="Times New Roman"/>
                <w:lang w:val="en-US" w:eastAsia="zh-CN" w:bidi="ar-SA"/>
              </w:rPr>
              <w:t>T</w:t>
            </w:r>
            <w:bookmarkStart w:id="9" w:name="OLE_LINK13"/>
            <w:r>
              <w:rPr>
                <w:rFonts w:ascii="Times New Roman" w:hAnsi="Times New Roman" w:eastAsia="宋体" w:cs="Times New Roman"/>
                <w:lang w:val="en-US" w:eastAsia="zh-CN" w:bidi="ar-SA"/>
              </w:rPr>
              <w:t>he amount of MSD improvement necessary</w:t>
            </w:r>
            <w:bookmarkEnd w:id="9"/>
            <w:r>
              <w:rPr>
                <w:rFonts w:ascii="Times New Roman" w:hAnsi="Times New Roman" w:eastAsia="宋体" w:cs="Times New Roman"/>
                <w:lang w:val="en-US" w:eastAsia="zh-CN" w:bidi="ar-SA"/>
              </w:rPr>
              <w:t xml:space="preserve"> for indication needs further study</w:t>
            </w:r>
          </w:p>
        </w:tc>
      </w:tr>
    </w:tbl>
    <w:p>
      <w:pPr>
        <w:pageBreakBefore w:val="0"/>
        <w:widowControl w:val="0"/>
        <w:kinsoku/>
        <w:wordWrap/>
        <w:topLinePunct w:val="0"/>
        <w:bidi w:val="0"/>
        <w:spacing w:before="120" w:after="120" w:line="240" w:lineRule="auto"/>
        <w:rPr>
          <w:rFonts w:hint="eastAsia" w:eastAsia="等线" w:cs="Times New Roman"/>
          <w:sz w:val="20"/>
          <w:highlight w:val="none"/>
          <w:lang w:val="en-US" w:eastAsia="zh-CN" w:bidi="ar-SA"/>
        </w:rPr>
      </w:pPr>
      <w:r>
        <w:rPr>
          <w:rFonts w:hint="eastAsia" w:eastAsia="等线"/>
          <w:sz w:val="20"/>
          <w:szCs w:val="20"/>
          <w:highlight w:val="none"/>
          <w:lang w:val="en-US" w:eastAsia="zh-CN"/>
        </w:rPr>
        <w:t xml:space="preserve">Regarding the above options, for the </w:t>
      </w:r>
      <w:bookmarkStart w:id="10" w:name="OLE_LINK14"/>
      <w:r>
        <w:rPr>
          <w:rFonts w:hint="eastAsia" w:eastAsia="等线"/>
          <w:sz w:val="20"/>
          <w:szCs w:val="20"/>
          <w:highlight w:val="none"/>
          <w:lang w:val="en-US" w:eastAsia="zh-CN"/>
        </w:rPr>
        <w:t xml:space="preserve">necessity </w:t>
      </w:r>
      <w:bookmarkEnd w:id="10"/>
      <w:bookmarkStart w:id="11" w:name="OLE_LINK15"/>
      <w:r>
        <w:rPr>
          <w:rFonts w:hint="eastAsia" w:ascii="Times New Roman" w:hAnsi="Times New Roman" w:eastAsia="等线" w:cs="Times New Roman"/>
          <w:sz w:val="20"/>
          <w:highlight w:val="none"/>
          <w:lang w:val="en-US" w:eastAsia="zh-CN" w:bidi="ar-SA"/>
        </w:rPr>
        <w:t>amount of MSD improvement</w:t>
      </w:r>
      <w:r>
        <w:rPr>
          <w:rFonts w:hint="eastAsia" w:eastAsia="等线" w:cs="Times New Roman"/>
          <w:sz w:val="20"/>
          <w:highlight w:val="none"/>
          <w:lang w:val="en-US" w:eastAsia="zh-CN" w:bidi="ar-SA"/>
        </w:rPr>
        <w:t>,</w:t>
      </w:r>
      <w:bookmarkEnd w:id="11"/>
      <w:r>
        <w:rPr>
          <w:rFonts w:hint="eastAsia" w:eastAsia="等线" w:cs="Times New Roman"/>
          <w:sz w:val="20"/>
          <w:highlight w:val="none"/>
          <w:lang w:val="en-US" w:eastAsia="zh-CN" w:bidi="ar-SA"/>
        </w:rPr>
        <w:t xml:space="preserve"> we also think it is meaningless to report lower MSD capability with much smaller </w:t>
      </w:r>
      <w:r>
        <w:rPr>
          <w:rFonts w:hint="eastAsia" w:ascii="Times New Roman" w:hAnsi="Times New Roman" w:eastAsia="等线" w:cs="Times New Roman"/>
          <w:sz w:val="20"/>
          <w:highlight w:val="none"/>
          <w:lang w:val="en-US" w:eastAsia="zh-CN" w:bidi="ar-SA"/>
        </w:rPr>
        <w:t>amount of MSD improvement</w:t>
      </w:r>
      <w:r>
        <w:rPr>
          <w:rFonts w:hint="eastAsia" w:eastAsia="等线" w:cs="Times New Roman"/>
          <w:sz w:val="20"/>
          <w:highlight w:val="none"/>
          <w:lang w:val="en-US" w:eastAsia="zh-CN" w:bidi="ar-SA"/>
        </w:rPr>
        <w:t xml:space="preserve">, for example, &lt;1 dB MSD improved would be meaningless. This point was also somehow mentioned in option 1. Option 2 seems reasonable since </w:t>
      </w:r>
      <w:bookmarkStart w:id="12" w:name="OLE_LINK19"/>
      <w:bookmarkStart w:id="13" w:name="OLE_LINK17"/>
      <w:r>
        <w:rPr>
          <w:rFonts w:hint="eastAsia" w:eastAsia="等线" w:cs="Times New Roman"/>
          <w:sz w:val="20"/>
          <w:highlight w:val="none"/>
          <w:lang w:val="en-US" w:eastAsia="zh-CN" w:bidi="ar-SA"/>
        </w:rPr>
        <w:t>measurements are anyway useful</w:t>
      </w:r>
      <w:bookmarkEnd w:id="12"/>
      <w:r>
        <w:rPr>
          <w:rFonts w:hint="eastAsia" w:eastAsia="等线" w:cs="Times New Roman"/>
          <w:sz w:val="20"/>
          <w:highlight w:val="none"/>
          <w:lang w:val="en-US" w:eastAsia="zh-CN" w:bidi="ar-SA"/>
        </w:rPr>
        <w:t xml:space="preserve"> although the evaluation or calculation for the MSD value without measurements have already done in the past. </w:t>
      </w:r>
    </w:p>
    <w:p>
      <w:pPr>
        <w:widowControl w:val="0"/>
        <w:numPr>
          <w:ilvl w:val="-1"/>
          <w:numId w:val="0"/>
        </w:numPr>
        <w:overflowPunct/>
        <w:autoSpaceDE/>
        <w:autoSpaceDN/>
        <w:adjustRightInd/>
        <w:spacing w:before="120" w:after="120" w:afterLines="-2147483648" w:line="240" w:lineRule="auto"/>
        <w:ind w:leftChars="0"/>
        <w:jc w:val="left"/>
        <w:textAlignment w:val="auto"/>
        <w:rPr>
          <w:rFonts w:hint="default" w:ascii="Times New Roman" w:hAnsi="Times New Roman" w:eastAsia="等线" w:cs="Times New Roman"/>
          <w:kern w:val="2"/>
          <w:sz w:val="20"/>
          <w:szCs w:val="20"/>
          <w:highlight w:val="none"/>
          <w:lang w:val="en-US" w:eastAsia="zh-CN" w:bidi="ar-SA"/>
        </w:rPr>
      </w:pPr>
      <w:r>
        <w:rPr>
          <w:rFonts w:hint="eastAsia" w:ascii="Times New Roman" w:hAnsi="Times New Roman" w:eastAsia="等线" w:cs="Times New Roman"/>
          <w:kern w:val="2"/>
          <w:sz w:val="20"/>
          <w:szCs w:val="20"/>
          <w:highlight w:val="none"/>
          <w:lang w:val="en-US" w:eastAsia="zh-CN" w:bidi="ar-SA"/>
        </w:rPr>
        <w:t>The MSD value in the specification are derived from the maximum output power. However, in real world, the maximum output power is usually happen when UE is at the cell edge. When UE moves from the cell edge to the cell center, the actual power will be reduced, which means the actual MSD values will be largely reduced.</w:t>
      </w:r>
      <w:r>
        <w:rPr>
          <w:rFonts w:hint="eastAsia" w:eastAsia="等线" w:cs="Times New Roman"/>
          <w:kern w:val="2"/>
          <w:sz w:val="20"/>
          <w:szCs w:val="20"/>
          <w:highlight w:val="none"/>
          <w:lang w:val="en-US" w:eastAsia="zh-CN" w:bidi="ar-SA"/>
        </w:rPr>
        <w:t xml:space="preserve"> Therefore, </w:t>
      </w:r>
      <w:r>
        <w:rPr>
          <w:rFonts w:hint="eastAsia" w:eastAsia="等线" w:cs="Times New Roman"/>
          <w:sz w:val="20"/>
          <w:highlight w:val="none"/>
          <w:lang w:val="en-US" w:eastAsia="zh-CN" w:bidi="ar-SA"/>
        </w:rPr>
        <w:t xml:space="preserve">we believe the measured MSD value in practical would be larger smaller than the values defined in the spec for </w:t>
      </w:r>
      <w:bookmarkStart w:id="14" w:name="OLE_LINK18"/>
      <w:r>
        <w:rPr>
          <w:rFonts w:hint="eastAsia" w:eastAsia="等线" w:cs="Times New Roman"/>
          <w:sz w:val="20"/>
          <w:highlight w:val="none"/>
          <w:lang w:val="en-US" w:eastAsia="zh-CN" w:bidi="ar-SA"/>
        </w:rPr>
        <w:t>most of</w:t>
      </w:r>
      <w:bookmarkEnd w:id="14"/>
      <w:r>
        <w:rPr>
          <w:rFonts w:hint="eastAsia" w:eastAsia="等线" w:cs="Times New Roman"/>
          <w:sz w:val="20"/>
          <w:highlight w:val="none"/>
          <w:lang w:val="en-US" w:eastAsia="zh-CN" w:bidi="ar-SA"/>
        </w:rPr>
        <w:t xml:space="preserve"> </w:t>
      </w:r>
    </w:p>
    <w:p>
      <w:pPr>
        <w:spacing w:before="120" w:beforeLines="-2147483648" w:after="0" w:afterLines="-2147483648" w:line="240" w:lineRule="auto"/>
        <w:jc w:val="both"/>
        <w:rPr>
          <w:rFonts w:hint="eastAsia" w:ascii="Times New Roman" w:hAnsi="Times New Roman" w:eastAsia="等线" w:cs="Times New Roman"/>
          <w:b/>
          <w:bCs/>
          <w:i/>
          <w:iCs/>
          <w:kern w:val="2"/>
          <w:sz w:val="20"/>
          <w:highlight w:val="none"/>
          <w:lang w:val="en-US" w:eastAsia="zh-CN"/>
        </w:rPr>
      </w:pPr>
      <w:bookmarkStart w:id="15" w:name="OLE_LINK2"/>
      <w:r>
        <w:rPr>
          <w:rFonts w:hint="eastAsia" w:eastAsia="等线" w:cs="Times New Roman"/>
          <w:b/>
          <w:bCs/>
          <w:i/>
          <w:iCs/>
          <w:sz w:val="20"/>
          <w:highlight w:val="none"/>
          <w:lang w:val="en-US" w:eastAsia="zh-CN" w:bidi="ar-SA"/>
        </w:rPr>
        <w:t xml:space="preserve">Observation 1. Measurements are anyway useful to </w:t>
      </w:r>
      <w:r>
        <w:rPr>
          <w:rFonts w:hint="eastAsia" w:ascii="Times New Roman" w:hAnsi="Times New Roman" w:eastAsia="等线" w:cs="Times New Roman"/>
          <w:b/>
          <w:bCs/>
          <w:i/>
          <w:iCs/>
          <w:kern w:val="2"/>
          <w:sz w:val="20"/>
          <w:highlight w:val="none"/>
          <w:lang w:val="en-US" w:eastAsia="zh-CN"/>
        </w:rPr>
        <w:t xml:space="preserve">avoid a situation that UE can report lower MSD capability without any actual improvement. </w:t>
      </w:r>
    </w:p>
    <w:bookmarkEnd w:id="13"/>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Times New Roman"/>
          <w:b/>
          <w:bCs/>
          <w:i/>
          <w:iCs/>
          <w:kern w:val="2"/>
          <w:sz w:val="20"/>
          <w:szCs w:val="20"/>
          <w:highlight w:val="none"/>
          <w:lang w:val="en-US" w:eastAsia="zh-CN" w:bidi="ar-SA"/>
        </w:rPr>
      </w:pPr>
      <w:bookmarkStart w:id="16" w:name="OLE_LINK36"/>
      <w:r>
        <w:rPr>
          <w:rFonts w:hint="eastAsia"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1</w:t>
      </w:r>
      <w:r>
        <w:rPr>
          <w:rFonts w:hint="eastAsia" w:eastAsia="宋体" w:cs="Times New Roman"/>
          <w:b/>
          <w:bCs/>
          <w:i/>
          <w:iCs/>
          <w:kern w:val="2"/>
          <w:sz w:val="20"/>
          <w:szCs w:val="20"/>
          <w:highlight w:val="none"/>
          <w:lang w:val="en-US" w:eastAsia="zh-CN" w:bidi="ar-SA"/>
        </w:rPr>
        <w:t>. To discuss how much MSD is improved can be considered as valuable in practical</w:t>
      </w:r>
    </w:p>
    <w:bookmarkEnd w:id="15"/>
    <w:bookmarkEnd w:id="16"/>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val="0"/>
          <w:bCs/>
          <w:kern w:val="2"/>
          <w:sz w:val="20"/>
          <w:szCs w:val="20"/>
          <w:highlight w:val="none"/>
          <w:u w:val="none"/>
          <w:lang w:val="en-US" w:eastAsia="zh-CN" w:bidi="ar-SA"/>
        </w:rPr>
      </w:pPr>
      <w:r>
        <w:rPr>
          <w:rFonts w:hint="eastAsia" w:cs="Times New Roman"/>
          <w:b/>
          <w:kern w:val="2"/>
          <w:sz w:val="20"/>
          <w:szCs w:val="20"/>
          <w:highlight w:val="none"/>
          <w:u w:val="single"/>
          <w:lang w:val="en-US" w:eastAsia="zh-CN" w:bidi="ar-SA"/>
        </w:rPr>
        <w:t>2.2 Lower MSD threshold(s)</w:t>
      </w:r>
    </w:p>
    <w:p>
      <w:pPr>
        <w:pageBreakBefore w:val="0"/>
        <w:widowControl w:val="0"/>
        <w:kinsoku/>
        <w:wordWrap/>
        <w:topLinePunct w:val="0"/>
        <w:bidi w:val="0"/>
        <w:spacing w:before="120" w:after="120" w:line="240" w:lineRule="auto"/>
        <w:rPr>
          <w:rFonts w:hint="default" w:ascii="Times New Roman" w:hAnsi="Times New Roman" w:eastAsia="等线" w:cs="Times New Roman"/>
          <w:sz w:val="20"/>
          <w:highlight w:val="none"/>
          <w:lang w:val="en-US" w:eastAsia="zh-CN" w:bidi="ar-SA"/>
        </w:rPr>
      </w:pPr>
      <w:r>
        <w:rPr>
          <w:rFonts w:hint="eastAsia" w:eastAsia="等线" w:cs="Times New Roman"/>
          <w:sz w:val="20"/>
          <w:highlight w:val="none"/>
          <w:lang w:val="en-US" w:eastAsia="zh-CN" w:bidi="ar-SA"/>
        </w:rPr>
        <w:t>The first issue is the essential information included in the</w:t>
      </w:r>
      <w:bookmarkStart w:id="17" w:name="OLE_LINK22"/>
      <w:r>
        <w:rPr>
          <w:rFonts w:hint="eastAsia" w:eastAsia="等线" w:cs="Times New Roman"/>
          <w:sz w:val="20"/>
          <w:highlight w:val="none"/>
          <w:lang w:val="en-US" w:eastAsia="zh-CN" w:bidi="ar-SA"/>
        </w:rPr>
        <w:t xml:space="preserve"> lower MSD capability</w:t>
      </w:r>
      <w:bookmarkEnd w:id="17"/>
      <w:r>
        <w:rPr>
          <w:rFonts w:hint="eastAsia" w:eastAsia="等线" w:cs="Times New Roman"/>
          <w:sz w:val="20"/>
          <w:highlight w:val="none"/>
          <w:lang w:val="en-US" w:eastAsia="zh-CN" w:bidi="ar-SA"/>
        </w:rPr>
        <w:t>, the agreements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numPr>
                <w:ilvl w:val="0"/>
                <w:numId w:val="0"/>
              </w:numPr>
              <w:pBdr>
                <w:top w:val="none" w:color="auto" w:sz="0" w:space="0"/>
              </w:pBdr>
              <w:overflowPunct w:val="0"/>
              <w:autoSpaceDE w:val="0"/>
              <w:autoSpaceDN w:val="0"/>
              <w:adjustRightInd w:val="0"/>
              <w:spacing w:before="0" w:after="60"/>
              <w:ind w:left="864" w:hanging="864"/>
              <w:textAlignment w:val="baseline"/>
              <w:outlineLvl w:val="3"/>
              <w:rPr>
                <w:rFonts w:ascii="Times New Roman" w:hAnsi="Times New Roman" w:eastAsia="宋体" w:cs="Times New Roman"/>
                <w:b/>
                <w:i/>
                <w:sz w:val="20"/>
                <w:u w:val="single"/>
                <w:lang w:val="en-GB" w:eastAsia="ko-KR" w:bidi="ar-SA"/>
              </w:rPr>
            </w:pPr>
            <w:r>
              <w:rPr>
                <w:rFonts w:ascii="Times New Roman" w:hAnsi="Times New Roman" w:eastAsia="宋体" w:cs="Times New Roman"/>
                <w:b/>
                <w:i/>
                <w:sz w:val="20"/>
                <w:u w:val="single"/>
                <w:lang w:val="en-GB" w:eastAsia="ko-KR" w:bidi="ar-SA"/>
              </w:rPr>
              <w:t xml:space="preserve">Issue 2-1-3: Essential information included in the lower MSD capability </w:t>
            </w:r>
          </w:p>
          <w:p>
            <w:pPr>
              <w:widowControl w:val="0"/>
              <w:tabs>
                <w:tab w:val="left" w:pos="1440"/>
                <w:tab w:val="left" w:pos="1701"/>
              </w:tabs>
              <w:overflowPunct w:val="0"/>
              <w:autoSpaceDE w:val="0"/>
              <w:autoSpaceDN w:val="0"/>
              <w:adjustRightInd w:val="0"/>
              <w:snapToGrid w:val="0"/>
              <w:spacing w:before="60" w:beforeLines="-2147483648" w:after="0" w:afterLines="-2147483648" w:line="240" w:lineRule="auto"/>
              <w:jc w:val="left"/>
              <w:textAlignment w:val="baseline"/>
              <w:rPr>
                <w:rFonts w:ascii="Times New Roman" w:hAnsi="Times New Roman" w:eastAsia="宋体" w:cs="Times New Roman"/>
                <w:b/>
                <w:i/>
                <w:kern w:val="0"/>
                <w:sz w:val="20"/>
                <w:lang w:val="en-GB" w:eastAsia="en-US"/>
              </w:rPr>
            </w:pPr>
            <w:r>
              <w:rPr>
                <w:rFonts w:ascii="Times New Roman" w:hAnsi="Times New Roman" w:eastAsia="宋体" w:cs="Times New Roman"/>
                <w:b/>
                <w:i/>
                <w:kern w:val="0"/>
                <w:sz w:val="20"/>
                <w:lang w:val="en-GB" w:eastAsia="en-US"/>
              </w:rPr>
              <w:t xml:space="preserve">Option 1: </w:t>
            </w:r>
          </w:p>
          <w:p>
            <w:pPr>
              <w:widowControl w:val="0"/>
              <w:numPr>
                <w:ilvl w:val="0"/>
                <w:numId w:val="11"/>
              </w:numPr>
              <w:tabs>
                <w:tab w:val="left" w:pos="1440"/>
                <w:tab w:val="left" w:pos="1701"/>
              </w:tabs>
              <w:overflowPunct w:val="0"/>
              <w:autoSpaceDE w:val="0"/>
              <w:autoSpaceDN w:val="0"/>
              <w:adjustRightInd w:val="0"/>
              <w:snapToGrid w:val="0"/>
              <w:spacing w:before="60" w:after="0"/>
              <w:ind w:left="420" w:hanging="420" w:firstLineChars="0"/>
              <w:textAlignment w:val="baseline"/>
              <w:rPr>
                <w:rFonts w:ascii="Times New Roman" w:hAnsi="Times New Roman" w:eastAsia="宋体" w:cs="Times New Roman"/>
                <w:b/>
                <w:i/>
                <w:lang w:val="en-GB" w:eastAsia="en-US" w:bidi="ar-SA"/>
              </w:rPr>
            </w:pPr>
            <w:r>
              <w:rPr>
                <w:rFonts w:ascii="Times New Roman" w:hAnsi="Times New Roman" w:eastAsia="宋体" w:cs="Times New Roman"/>
                <w:b/>
                <w:i/>
                <w:lang w:val="en-GB" w:eastAsia="en-US" w:bidi="ar-SA"/>
              </w:rPr>
              <w:t>Victim band</w:t>
            </w:r>
          </w:p>
          <w:p>
            <w:pPr>
              <w:widowControl w:val="0"/>
              <w:numPr>
                <w:ilvl w:val="0"/>
                <w:numId w:val="11"/>
              </w:numPr>
              <w:tabs>
                <w:tab w:val="left" w:pos="1440"/>
                <w:tab w:val="left" w:pos="1701"/>
              </w:tabs>
              <w:overflowPunct w:val="0"/>
              <w:autoSpaceDE w:val="0"/>
              <w:autoSpaceDN w:val="0"/>
              <w:adjustRightInd w:val="0"/>
              <w:snapToGrid w:val="0"/>
              <w:spacing w:before="60" w:after="0"/>
              <w:ind w:left="420" w:hanging="420" w:firstLineChars="0"/>
              <w:textAlignment w:val="baseline"/>
              <w:rPr>
                <w:rFonts w:ascii="Times New Roman" w:hAnsi="Times New Roman" w:eastAsia="宋体" w:cs="Times New Roman"/>
                <w:b/>
                <w:i/>
                <w:lang w:val="en-GB" w:eastAsia="en-US" w:bidi="ar-SA"/>
              </w:rPr>
            </w:pPr>
            <w:r>
              <w:rPr>
                <w:rFonts w:ascii="Times New Roman" w:hAnsi="Times New Roman" w:eastAsia="宋体" w:cs="Times New Roman"/>
                <w:b/>
                <w:i/>
                <w:lang w:val="en-GB" w:eastAsia="en-US" w:bidi="ar-SA"/>
              </w:rPr>
              <w:t>MSD type (harmonic; harmonic mixing; cross band isolation; IMD)</w:t>
            </w:r>
          </w:p>
          <w:p>
            <w:pPr>
              <w:widowControl w:val="0"/>
              <w:numPr>
                <w:ilvl w:val="0"/>
                <w:numId w:val="11"/>
              </w:numPr>
              <w:tabs>
                <w:tab w:val="left" w:pos="1440"/>
                <w:tab w:val="left" w:pos="1701"/>
              </w:tabs>
              <w:overflowPunct w:val="0"/>
              <w:autoSpaceDE w:val="0"/>
              <w:autoSpaceDN w:val="0"/>
              <w:adjustRightInd w:val="0"/>
              <w:snapToGrid w:val="0"/>
              <w:spacing w:before="60" w:after="60"/>
              <w:ind w:left="420" w:hanging="420" w:firstLineChars="0"/>
              <w:textAlignment w:val="baseline"/>
              <w:rPr>
                <w:rFonts w:ascii="Times New Roman" w:hAnsi="Times New Roman" w:eastAsia="宋体" w:cs="Times New Roman"/>
                <w:b/>
                <w:i/>
                <w:lang w:val="en-GB" w:eastAsia="en-US" w:bidi="ar-SA"/>
              </w:rPr>
            </w:pPr>
            <w:r>
              <w:rPr>
                <w:rFonts w:ascii="Times New Roman" w:hAnsi="Times New Roman" w:eastAsia="宋体" w:cs="Times New Roman"/>
                <w:b/>
                <w:i/>
                <w:lang w:val="en-GB" w:eastAsia="en-US" w:bidi="ar-SA"/>
              </w:rPr>
              <w:t>MSD value/thresholds</w:t>
            </w:r>
          </w:p>
          <w:p>
            <w:pPr>
              <w:widowControl w:val="0"/>
              <w:tabs>
                <w:tab w:val="left" w:pos="1440"/>
                <w:tab w:val="left" w:pos="1701"/>
              </w:tabs>
              <w:overflowPunct w:val="0"/>
              <w:autoSpaceDE w:val="0"/>
              <w:autoSpaceDN w:val="0"/>
              <w:adjustRightInd w:val="0"/>
              <w:snapToGrid w:val="0"/>
              <w:spacing w:before="60" w:beforeLines="-2147483648" w:after="0" w:afterLines="-2147483648" w:line="240" w:lineRule="auto"/>
              <w:jc w:val="left"/>
              <w:textAlignment w:val="baseline"/>
              <w:rPr>
                <w:rFonts w:ascii="Times New Roman" w:hAnsi="Times New Roman" w:eastAsia="宋体" w:cs="Times New Roman"/>
                <w:b/>
                <w:i/>
                <w:kern w:val="0"/>
                <w:sz w:val="20"/>
                <w:lang w:val="en-GB" w:eastAsia="en-US"/>
              </w:rPr>
            </w:pPr>
            <w:r>
              <w:rPr>
                <w:rFonts w:ascii="Times New Roman" w:hAnsi="Times New Roman" w:eastAsia="宋体" w:cs="Times New Roman"/>
                <w:b/>
                <w:i/>
                <w:kern w:val="0"/>
                <w:sz w:val="20"/>
                <w:lang w:val="en-GB" w:eastAsia="en-US"/>
              </w:rPr>
              <w:t xml:space="preserve">Option 2: </w:t>
            </w:r>
          </w:p>
          <w:p>
            <w:pPr>
              <w:widowControl w:val="0"/>
              <w:numPr>
                <w:ilvl w:val="0"/>
                <w:numId w:val="11"/>
              </w:numPr>
              <w:tabs>
                <w:tab w:val="left" w:pos="1440"/>
                <w:tab w:val="left" w:pos="1701"/>
              </w:tabs>
              <w:overflowPunct w:val="0"/>
              <w:autoSpaceDE w:val="0"/>
              <w:autoSpaceDN w:val="0"/>
              <w:adjustRightInd w:val="0"/>
              <w:snapToGrid w:val="0"/>
              <w:spacing w:before="60" w:after="0"/>
              <w:ind w:left="420" w:hanging="420" w:firstLineChars="0"/>
              <w:textAlignment w:val="baseline"/>
              <w:rPr>
                <w:rFonts w:ascii="Times New Roman" w:hAnsi="Times New Roman" w:eastAsia="宋体" w:cs="Times New Roman"/>
                <w:b/>
                <w:i/>
                <w:lang w:val="en-GB" w:eastAsia="en-US" w:bidi="ar-SA"/>
              </w:rPr>
            </w:pPr>
            <w:r>
              <w:rPr>
                <w:rFonts w:ascii="Times New Roman" w:hAnsi="Times New Roman" w:eastAsia="宋体" w:cs="Times New Roman"/>
                <w:b/>
                <w:i/>
                <w:lang w:val="en-GB" w:eastAsia="en-US" w:bidi="ar-SA"/>
              </w:rPr>
              <w:t>Victim band</w:t>
            </w:r>
          </w:p>
          <w:p>
            <w:pPr>
              <w:widowControl w:val="0"/>
              <w:numPr>
                <w:ilvl w:val="0"/>
                <w:numId w:val="11"/>
              </w:numPr>
              <w:tabs>
                <w:tab w:val="left" w:pos="1440"/>
                <w:tab w:val="left" w:pos="1701"/>
              </w:tabs>
              <w:overflowPunct w:val="0"/>
              <w:autoSpaceDE w:val="0"/>
              <w:autoSpaceDN w:val="0"/>
              <w:adjustRightInd w:val="0"/>
              <w:snapToGrid w:val="0"/>
              <w:spacing w:before="60" w:after="0"/>
              <w:ind w:left="420" w:hanging="420" w:firstLineChars="0"/>
              <w:textAlignment w:val="baseline"/>
              <w:rPr>
                <w:rFonts w:ascii="Times New Roman" w:hAnsi="Times New Roman" w:eastAsia="宋体" w:cs="Times New Roman"/>
                <w:b/>
                <w:i/>
                <w:lang w:val="en-GB" w:eastAsia="en-US" w:bidi="ar-SA"/>
              </w:rPr>
            </w:pPr>
            <w:r>
              <w:rPr>
                <w:rFonts w:ascii="Times New Roman" w:hAnsi="Times New Roman" w:eastAsia="宋体" w:cs="Times New Roman"/>
                <w:b/>
                <w:i/>
                <w:lang w:val="en-GB" w:eastAsia="en-US" w:bidi="ar-SA"/>
              </w:rPr>
              <w:t>MSD type (harmonic; harmonic mixing; cross band isolation; IMD) with orders</w:t>
            </w:r>
          </w:p>
          <w:p>
            <w:pPr>
              <w:widowControl w:val="0"/>
              <w:numPr>
                <w:ilvl w:val="0"/>
                <w:numId w:val="11"/>
              </w:numPr>
              <w:tabs>
                <w:tab w:val="left" w:pos="1440"/>
                <w:tab w:val="left" w:pos="1701"/>
              </w:tabs>
              <w:overflowPunct w:val="0"/>
              <w:autoSpaceDE w:val="0"/>
              <w:autoSpaceDN w:val="0"/>
              <w:adjustRightInd w:val="0"/>
              <w:snapToGrid w:val="0"/>
              <w:spacing w:before="60" w:after="60"/>
              <w:ind w:left="420" w:hanging="420" w:firstLineChars="0"/>
              <w:textAlignment w:val="baseline"/>
              <w:rPr>
                <w:rFonts w:ascii="Times New Roman" w:hAnsi="Times New Roman" w:eastAsia="宋体" w:cs="Times New Roman"/>
                <w:b/>
                <w:i/>
                <w:lang w:val="en-GB" w:eastAsia="en-US" w:bidi="ar-SA"/>
              </w:rPr>
            </w:pPr>
            <w:r>
              <w:rPr>
                <w:rFonts w:ascii="Times New Roman" w:hAnsi="Times New Roman" w:eastAsia="宋体" w:cs="Times New Roman"/>
                <w:b/>
                <w:i/>
                <w:lang w:val="en-GB" w:eastAsia="en-US" w:bidi="ar-SA"/>
              </w:rPr>
              <w:t>MSD value/thresholds</w:t>
            </w:r>
          </w:p>
          <w:p>
            <w:pPr>
              <w:widowControl w:val="0"/>
              <w:tabs>
                <w:tab w:val="left" w:pos="1440"/>
                <w:tab w:val="left" w:pos="1701"/>
              </w:tabs>
              <w:overflowPunct w:val="0"/>
              <w:autoSpaceDE w:val="0"/>
              <w:autoSpaceDN w:val="0"/>
              <w:adjustRightInd w:val="0"/>
              <w:snapToGrid w:val="0"/>
              <w:spacing w:before="60" w:beforeLines="-2147483648" w:after="60" w:afterLines="-2147483648" w:line="240" w:lineRule="auto"/>
              <w:jc w:val="left"/>
              <w:textAlignment w:val="baseline"/>
              <w:rPr>
                <w:rFonts w:ascii="Times New Roman" w:hAnsi="Times New Roman" w:eastAsia="宋体" w:cs="Times New Roman"/>
                <w:b/>
                <w:bCs/>
                <w:i/>
                <w:color w:val="000000"/>
                <w:kern w:val="0"/>
                <w:sz w:val="20"/>
                <w:lang w:val="en-GB" w:eastAsia="en-US"/>
              </w:rPr>
            </w:pPr>
            <w:r>
              <w:rPr>
                <w:rFonts w:ascii="Times New Roman" w:hAnsi="Times New Roman" w:eastAsia="宋体" w:cs="Times New Roman"/>
                <w:b/>
                <w:i/>
                <w:color w:val="000000"/>
                <w:kern w:val="0"/>
                <w:sz w:val="20"/>
                <w:lang w:val="en-GB" w:eastAsia="en-US"/>
              </w:rPr>
              <w:t>Option 3: Others, including</w:t>
            </w:r>
          </w:p>
          <w:p>
            <w:pPr>
              <w:widowControl w:val="0"/>
              <w:numPr>
                <w:ilvl w:val="0"/>
                <w:numId w:val="11"/>
              </w:numPr>
              <w:tabs>
                <w:tab w:val="left" w:pos="1440"/>
                <w:tab w:val="left" w:pos="1701"/>
              </w:tabs>
              <w:overflowPunct w:val="0"/>
              <w:autoSpaceDE w:val="0"/>
              <w:autoSpaceDN w:val="0"/>
              <w:adjustRightInd w:val="0"/>
              <w:snapToGrid w:val="0"/>
              <w:spacing w:before="60" w:after="0"/>
              <w:ind w:left="420" w:hanging="420" w:firstLineChars="0"/>
              <w:textAlignment w:val="baseline"/>
              <w:rPr>
                <w:rFonts w:ascii="Times New Roman" w:hAnsi="Times New Roman" w:eastAsia="宋体" w:cs="Times New Roman"/>
                <w:b/>
                <w:i/>
                <w:lang w:val="en-GB" w:eastAsia="en-US" w:bidi="ar-SA"/>
              </w:rPr>
            </w:pPr>
            <w:bookmarkStart w:id="18" w:name="OLE_LINK37"/>
            <w:r>
              <w:rPr>
                <w:rFonts w:ascii="Times New Roman" w:hAnsi="Times New Roman" w:eastAsia="宋体" w:cs="Times New Roman"/>
                <w:b/>
                <w:i/>
                <w:lang w:val="en-GB" w:eastAsia="en-US" w:bidi="ar-SA"/>
              </w:rPr>
              <w:t>Power class of the aggressor UL</w:t>
            </w:r>
          </w:p>
          <w:bookmarkEnd w:id="18"/>
          <w:p>
            <w:pPr>
              <w:widowControl w:val="0"/>
              <w:numPr>
                <w:ilvl w:val="0"/>
                <w:numId w:val="11"/>
              </w:numPr>
              <w:tabs>
                <w:tab w:val="left" w:pos="1440"/>
                <w:tab w:val="left" w:pos="1701"/>
              </w:tabs>
              <w:overflowPunct w:val="0"/>
              <w:autoSpaceDE w:val="0"/>
              <w:autoSpaceDN w:val="0"/>
              <w:adjustRightInd w:val="0"/>
              <w:snapToGrid w:val="0"/>
              <w:spacing w:before="60" w:after="0"/>
              <w:ind w:left="420" w:hanging="420" w:firstLineChars="0"/>
              <w:textAlignment w:val="baseline"/>
              <w:rPr>
                <w:rFonts w:ascii="Times New Roman" w:hAnsi="Times New Roman" w:eastAsia="宋体" w:cs="Times New Roman"/>
                <w:b/>
                <w:i/>
                <w:lang w:val="en-GB" w:eastAsia="en-US" w:bidi="ar-SA"/>
              </w:rPr>
            </w:pPr>
            <w:bookmarkStart w:id="19" w:name="OLE_LINK44"/>
            <w:bookmarkStart w:id="20" w:name="OLE_LINK27"/>
            <w:r>
              <w:rPr>
                <w:rFonts w:hint="eastAsia" w:ascii="Times New Roman" w:hAnsi="Times New Roman" w:eastAsia="等线" w:cs="Times New Roman"/>
                <w:b/>
                <w:i/>
                <w:lang w:val="en-GB" w:eastAsia="zh-CN" w:bidi="ar-SA"/>
              </w:rPr>
              <w:t>A</w:t>
            </w:r>
            <w:r>
              <w:rPr>
                <w:rFonts w:ascii="Times New Roman" w:hAnsi="Times New Roman" w:eastAsia="等线" w:cs="Times New Roman"/>
                <w:b/>
                <w:i/>
                <w:lang w:val="en-GB" w:eastAsia="zh-CN" w:bidi="ar-SA"/>
              </w:rPr>
              <w:t>ggressor UL</w:t>
            </w:r>
            <w:bookmarkEnd w:id="19"/>
            <w:r>
              <w:rPr>
                <w:rFonts w:ascii="Times New Roman" w:hAnsi="Times New Roman" w:eastAsia="等线" w:cs="Times New Roman"/>
                <w:b/>
                <w:i/>
                <w:lang w:val="en-GB" w:eastAsia="zh-CN" w:bidi="ar-SA"/>
              </w:rPr>
              <w:t xml:space="preserve"> and victim DL bandwidth</w:t>
            </w:r>
          </w:p>
          <w:bookmarkEnd w:id="20"/>
          <w:p>
            <w:pPr>
              <w:widowControl w:val="0"/>
              <w:tabs>
                <w:tab w:val="left" w:pos="1440"/>
                <w:tab w:val="left" w:pos="1701"/>
              </w:tabs>
              <w:overflowPunct w:val="0"/>
              <w:autoSpaceDE w:val="0"/>
              <w:autoSpaceDN w:val="0"/>
              <w:adjustRightInd w:val="0"/>
              <w:spacing w:before="120" w:beforeLines="50" w:after="180" w:afterLines="-2147483648" w:line="240" w:lineRule="auto"/>
              <w:jc w:val="left"/>
              <w:textAlignment w:val="baseline"/>
              <w:rPr>
                <w:rFonts w:ascii="Times New Roman" w:hAnsi="Times New Roman" w:eastAsia="宋体" w:cs="Times New Roman"/>
                <w:b/>
                <w:kern w:val="0"/>
                <w:sz w:val="20"/>
                <w:highlight w:val="green"/>
                <w:lang w:val="en-GB" w:eastAsia="zh-CN"/>
              </w:rPr>
            </w:pPr>
            <w:r>
              <w:rPr>
                <w:rFonts w:ascii="Times New Roman" w:hAnsi="Times New Roman" w:eastAsia="宋体" w:cs="Times New Roman"/>
                <w:b/>
                <w:kern w:val="0"/>
                <w:sz w:val="20"/>
                <w:highlight w:val="green"/>
                <w:lang w:val="en-GB" w:eastAsia="zh-CN"/>
              </w:rPr>
              <w:t>&lt;</w:t>
            </w:r>
            <w:r>
              <w:rPr>
                <w:rFonts w:ascii="Times New Roman" w:hAnsi="Times New Roman" w:eastAsia="宋体" w:cs="Times New Roman"/>
                <w:b/>
                <w:kern w:val="0"/>
                <w:sz w:val="20"/>
                <w:highlight w:val="green"/>
                <w:lang w:val="en-GB" w:eastAsia="en-US"/>
              </w:rPr>
              <w:t>Agreement in main session</w:t>
            </w:r>
            <w:r>
              <w:rPr>
                <w:rFonts w:ascii="Times New Roman" w:hAnsi="Times New Roman" w:eastAsia="宋体" w:cs="Times New Roman"/>
                <w:b/>
                <w:kern w:val="0"/>
                <w:sz w:val="20"/>
                <w:highlight w:val="green"/>
                <w:lang w:val="en-GB" w:eastAsia="zh-CN"/>
              </w:rPr>
              <w:t xml:space="preserve">&gt;: </w:t>
            </w:r>
          </w:p>
          <w:p>
            <w:pPr>
              <w:numPr>
                <w:ilvl w:val="0"/>
                <w:numId w:val="9"/>
              </w:numPr>
              <w:overflowPunct w:val="0"/>
              <w:autoSpaceDE w:val="0"/>
              <w:autoSpaceDN w:val="0"/>
              <w:adjustRightInd w:val="0"/>
              <w:spacing w:after="180"/>
              <w:ind w:left="420" w:hanging="420" w:firstLineChars="0"/>
              <w:textAlignment w:val="baseline"/>
              <w:rPr>
                <w:rFonts w:hint="eastAsia" w:ascii="Times New Roman" w:hAnsi="Times New Roman" w:eastAsia="宋体" w:cs="Times New Roman"/>
                <w:vertAlign w:val="baseline"/>
                <w:lang w:val="en-US" w:eastAsia="zh-CN" w:bidi="ar-SA"/>
              </w:rPr>
            </w:pPr>
            <w:r>
              <w:rPr>
                <w:rFonts w:ascii="Times New Roman" w:hAnsi="Times New Roman" w:eastAsia="宋体" w:cs="Times New Roman"/>
                <w:lang w:val="en-GB" w:eastAsia="en-US" w:bidi="ar-SA"/>
              </w:rPr>
              <w:t>Use Option 2 as the starting point and discuss how to capture the other necessary parameters.</w:t>
            </w:r>
          </w:p>
        </w:tc>
      </w:tr>
    </w:tbl>
    <w:p>
      <w:pPr>
        <w:pageBreakBefore w:val="0"/>
        <w:widowControl w:val="0"/>
        <w:kinsoku/>
        <w:wordWrap/>
        <w:topLinePunct w:val="0"/>
        <w:bidi w:val="0"/>
        <w:spacing w:before="120" w:after="120" w:line="240" w:lineRule="auto"/>
        <w:rPr>
          <w:rFonts w:hint="eastAsia" w:eastAsia="等线" w:cs="Times New Roman"/>
          <w:sz w:val="20"/>
          <w:highlight w:val="none"/>
          <w:lang w:val="en-US" w:eastAsia="zh-CN" w:bidi="ar-SA"/>
        </w:rPr>
      </w:pPr>
      <w:r>
        <w:rPr>
          <w:rFonts w:hint="eastAsia" w:eastAsia="等线" w:cs="Times New Roman"/>
          <w:sz w:val="20"/>
          <w:highlight w:val="none"/>
          <w:lang w:val="en-US" w:eastAsia="zh-CN" w:bidi="ar-SA"/>
        </w:rPr>
        <w:t xml:space="preserve">First, we think </w:t>
      </w:r>
      <w:bookmarkStart w:id="21" w:name="OLE_LINK24"/>
      <w:r>
        <w:rPr>
          <w:rFonts w:hint="eastAsia" w:eastAsia="等线" w:cs="Times New Roman"/>
          <w:sz w:val="20"/>
          <w:highlight w:val="none"/>
          <w:lang w:val="en-US" w:eastAsia="zh-CN" w:bidi="ar-SA"/>
        </w:rPr>
        <w:t xml:space="preserve">power class of the aggressor UL </w:t>
      </w:r>
      <w:bookmarkEnd w:id="21"/>
      <w:r>
        <w:rPr>
          <w:rFonts w:hint="eastAsia" w:eastAsia="等线" w:cs="Times New Roman"/>
          <w:sz w:val="20"/>
          <w:highlight w:val="none"/>
          <w:lang w:val="en-US" w:eastAsia="zh-CN" w:bidi="ar-SA"/>
        </w:rPr>
        <w:t xml:space="preserve">should be included </w:t>
      </w:r>
      <w:bookmarkStart w:id="22" w:name="OLE_LINK43"/>
      <w:r>
        <w:rPr>
          <w:rFonts w:hint="eastAsia" w:eastAsia="等线" w:cs="Times New Roman"/>
          <w:sz w:val="20"/>
          <w:highlight w:val="none"/>
          <w:lang w:val="en-US" w:eastAsia="zh-CN" w:bidi="ar-SA"/>
        </w:rPr>
        <w:t xml:space="preserve">in the </w:t>
      </w:r>
      <w:bookmarkStart w:id="23" w:name="OLE_LINK30"/>
      <w:r>
        <w:rPr>
          <w:rFonts w:hint="eastAsia" w:eastAsia="等线" w:cs="Times New Roman"/>
          <w:sz w:val="20"/>
          <w:highlight w:val="none"/>
          <w:lang w:val="en-US" w:eastAsia="zh-CN" w:bidi="ar-SA"/>
        </w:rPr>
        <w:t>lower MSD capability reporting</w:t>
      </w:r>
      <w:bookmarkEnd w:id="22"/>
      <w:bookmarkEnd w:id="23"/>
      <w:r>
        <w:rPr>
          <w:rFonts w:hint="eastAsia" w:eastAsia="等线" w:cs="Times New Roman"/>
          <w:sz w:val="20"/>
          <w:highlight w:val="none"/>
          <w:lang w:val="en-US" w:eastAsia="zh-CN" w:bidi="ar-SA"/>
        </w:rPr>
        <w:t xml:space="preserve">. As we know, the </w:t>
      </w:r>
      <w:bookmarkStart w:id="24" w:name="OLE_LINK28"/>
      <w:r>
        <w:rPr>
          <w:rFonts w:hint="eastAsia" w:eastAsia="等线" w:cs="Times New Roman"/>
          <w:sz w:val="20"/>
          <w:highlight w:val="none"/>
          <w:lang w:val="en-US" w:eastAsia="zh-CN" w:bidi="ar-SA"/>
        </w:rPr>
        <w:t>harmonic/</w:t>
      </w:r>
      <w:bookmarkStart w:id="25" w:name="OLE_LINK39"/>
      <w:r>
        <w:rPr>
          <w:rFonts w:hint="eastAsia" w:eastAsia="等线" w:cs="Times New Roman"/>
          <w:sz w:val="20"/>
          <w:highlight w:val="none"/>
          <w:lang w:val="en-US" w:eastAsia="zh-CN" w:bidi="ar-SA"/>
        </w:rPr>
        <w:t>harmonic mixing/cross band isolation</w:t>
      </w:r>
      <w:bookmarkEnd w:id="25"/>
      <w:r>
        <w:rPr>
          <w:rFonts w:hint="eastAsia" w:eastAsia="等线" w:cs="Times New Roman"/>
          <w:sz w:val="20"/>
          <w:highlight w:val="none"/>
          <w:lang w:val="en-US" w:eastAsia="zh-CN" w:bidi="ar-SA"/>
        </w:rPr>
        <w:t xml:space="preserve"> MSD</w:t>
      </w:r>
      <w:bookmarkEnd w:id="24"/>
      <w:r>
        <w:rPr>
          <w:rFonts w:hint="eastAsia" w:eastAsia="等线" w:cs="Times New Roman"/>
          <w:sz w:val="20"/>
          <w:highlight w:val="none"/>
          <w:lang w:val="en-US" w:eastAsia="zh-CN" w:bidi="ar-SA"/>
        </w:rPr>
        <w:t xml:space="preserve"> values defined in the spec were based on different power class of the aggressor UL, and comparing PC3 aggressor UL with PC2 </w:t>
      </w:r>
      <w:bookmarkStart w:id="26" w:name="OLE_LINK26"/>
      <w:r>
        <w:rPr>
          <w:rFonts w:hint="eastAsia" w:eastAsia="等线" w:cs="Times New Roman"/>
          <w:sz w:val="20"/>
          <w:highlight w:val="none"/>
          <w:lang w:val="en-US" w:eastAsia="zh-CN" w:bidi="ar-SA"/>
        </w:rPr>
        <w:t>aggressor UL</w:t>
      </w:r>
      <w:bookmarkEnd w:id="26"/>
      <w:r>
        <w:rPr>
          <w:rFonts w:hint="eastAsia" w:eastAsia="等线" w:cs="Times New Roman"/>
          <w:sz w:val="20"/>
          <w:highlight w:val="none"/>
          <w:lang w:val="en-US" w:eastAsia="zh-CN" w:bidi="ar-SA"/>
        </w:rPr>
        <w:t xml:space="preserve"> for the same band combination, with the 3dB increased for the aggressor UL, the values for the same MSD type in the case of PC2 aggressor UL are larger than 3dB, even &gt;10dB for some band combination. Although the similar tendency for PC2/PC3 MSD improving, the improved MSD would be different.</w:t>
      </w:r>
    </w:p>
    <w:p>
      <w:pPr>
        <w:widowControl w:val="0"/>
        <w:numPr>
          <w:ilvl w:val="-1"/>
          <w:numId w:val="0"/>
        </w:numPr>
        <w:overflowPunct/>
        <w:autoSpaceDE/>
        <w:autoSpaceDN/>
        <w:adjustRightInd/>
        <w:snapToGrid/>
        <w:spacing w:before="120" w:after="120" w:line="240" w:lineRule="auto"/>
        <w:ind w:left="0" w:firstLine="0" w:firstLineChars="0"/>
        <w:textAlignment w:val="auto"/>
        <w:rPr>
          <w:rFonts w:hint="eastAsia" w:eastAsia="等线" w:cs="Times New Roman"/>
          <w:b w:val="0"/>
          <w:i w:val="0"/>
          <w:sz w:val="20"/>
          <w:highlight w:val="none"/>
          <w:lang w:val="en-US" w:eastAsia="zh-CN" w:bidi="ar-SA"/>
        </w:rPr>
      </w:pPr>
      <w:r>
        <w:rPr>
          <w:rFonts w:hint="eastAsia" w:eastAsia="等线" w:cs="Times New Roman"/>
          <w:sz w:val="20"/>
          <w:highlight w:val="none"/>
          <w:lang w:val="en-US" w:eastAsia="zh-CN" w:bidi="ar-SA"/>
        </w:rPr>
        <w:t>Second, regarding to</w:t>
      </w:r>
      <w:bookmarkStart w:id="27" w:name="OLE_LINK38"/>
      <w:r>
        <w:rPr>
          <w:rFonts w:hint="eastAsia" w:eastAsia="等线" w:cs="Times New Roman"/>
          <w:sz w:val="20"/>
          <w:highlight w:val="none"/>
          <w:lang w:val="en-US" w:eastAsia="zh-CN" w:bidi="ar-SA"/>
        </w:rPr>
        <w:t xml:space="preserve"> </w:t>
      </w:r>
      <w:bookmarkStart w:id="28" w:name="OLE_LINK41"/>
      <w:r>
        <w:rPr>
          <w:rFonts w:hint="eastAsia" w:ascii="Times New Roman" w:hAnsi="Times New Roman" w:eastAsia="等线" w:cs="Times New Roman"/>
          <w:b w:val="0"/>
          <w:i w:val="0"/>
          <w:sz w:val="20"/>
          <w:highlight w:val="none"/>
          <w:lang w:val="en-US" w:eastAsia="zh-CN" w:bidi="ar-SA"/>
        </w:rPr>
        <w:t>Aggressor UL</w:t>
      </w:r>
      <w:bookmarkEnd w:id="27"/>
      <w:r>
        <w:rPr>
          <w:rFonts w:hint="eastAsia" w:ascii="Times New Roman" w:hAnsi="Times New Roman" w:eastAsia="等线" w:cs="Times New Roman"/>
          <w:b w:val="0"/>
          <w:i w:val="0"/>
          <w:sz w:val="20"/>
          <w:highlight w:val="none"/>
          <w:lang w:val="en-US" w:eastAsia="zh-CN" w:bidi="ar-SA"/>
        </w:rPr>
        <w:t xml:space="preserve"> and </w:t>
      </w:r>
      <w:bookmarkStart w:id="29" w:name="OLE_LINK32"/>
      <w:r>
        <w:rPr>
          <w:rFonts w:hint="eastAsia" w:ascii="Times New Roman" w:hAnsi="Times New Roman" w:eastAsia="等线" w:cs="Times New Roman"/>
          <w:b w:val="0"/>
          <w:i w:val="0"/>
          <w:sz w:val="20"/>
          <w:highlight w:val="none"/>
          <w:lang w:val="en-US" w:eastAsia="zh-CN" w:bidi="ar-SA"/>
        </w:rPr>
        <w:t>victim DL bandwidth</w:t>
      </w:r>
      <w:bookmarkEnd w:id="28"/>
      <w:bookmarkEnd w:id="29"/>
      <w:r>
        <w:rPr>
          <w:rFonts w:hint="eastAsia" w:eastAsia="等线" w:cs="Times New Roman"/>
          <w:b w:val="0"/>
          <w:i w:val="0"/>
          <w:sz w:val="20"/>
          <w:highlight w:val="none"/>
          <w:lang w:val="en-US" w:eastAsia="zh-CN" w:bidi="ar-SA"/>
        </w:rPr>
        <w:t xml:space="preserve">, we think there is needed to include </w:t>
      </w:r>
      <w:bookmarkStart w:id="30" w:name="OLE_LINK29"/>
      <w:r>
        <w:rPr>
          <w:rFonts w:hint="eastAsia" w:ascii="Times New Roman" w:hAnsi="Times New Roman" w:eastAsia="等线" w:cs="Times New Roman"/>
          <w:b w:val="0"/>
          <w:i w:val="0"/>
          <w:sz w:val="20"/>
          <w:highlight w:val="none"/>
          <w:lang w:val="en-US" w:eastAsia="zh-CN" w:bidi="ar-SA"/>
        </w:rPr>
        <w:t>victim DL bandwidth</w:t>
      </w:r>
      <w:r>
        <w:rPr>
          <w:rFonts w:hint="eastAsia" w:eastAsia="等线" w:cs="Times New Roman"/>
          <w:b w:val="0"/>
          <w:i w:val="0"/>
          <w:sz w:val="20"/>
          <w:highlight w:val="none"/>
          <w:lang w:val="en-US" w:eastAsia="zh-CN" w:bidi="ar-SA"/>
        </w:rPr>
        <w:t xml:space="preserve"> </w:t>
      </w:r>
      <w:bookmarkEnd w:id="30"/>
      <w:r>
        <w:rPr>
          <w:rFonts w:hint="eastAsia" w:eastAsia="等线" w:cs="Times New Roman"/>
          <w:b w:val="0"/>
          <w:i w:val="0"/>
          <w:sz w:val="20"/>
          <w:highlight w:val="none"/>
          <w:lang w:val="en-US" w:eastAsia="zh-CN" w:bidi="ar-SA"/>
        </w:rPr>
        <w:t xml:space="preserve">although the </w:t>
      </w:r>
      <w:bookmarkStart w:id="31" w:name="OLE_LINK31"/>
      <w:r>
        <w:rPr>
          <w:rFonts w:hint="eastAsia" w:ascii="Times New Roman" w:hAnsi="Times New Roman" w:eastAsia="等线" w:cs="Times New Roman"/>
          <w:b w:val="0"/>
          <w:i w:val="0"/>
          <w:sz w:val="20"/>
          <w:highlight w:val="none"/>
          <w:lang w:val="en-US" w:eastAsia="zh-CN" w:bidi="ar-SA"/>
        </w:rPr>
        <w:t>Aggressor UL and victim DL bandwidth</w:t>
      </w:r>
      <w:r>
        <w:rPr>
          <w:rFonts w:hint="eastAsia" w:eastAsia="等线" w:cs="Times New Roman"/>
          <w:b w:val="0"/>
          <w:i w:val="0"/>
          <w:sz w:val="20"/>
          <w:highlight w:val="none"/>
          <w:lang w:val="en-US" w:eastAsia="zh-CN" w:bidi="ar-SA"/>
        </w:rPr>
        <w:t xml:space="preserve"> </w:t>
      </w:r>
      <w:bookmarkEnd w:id="31"/>
      <w:r>
        <w:rPr>
          <w:rFonts w:hint="eastAsia" w:eastAsia="等线" w:cs="Times New Roman"/>
          <w:b w:val="0"/>
          <w:i w:val="0"/>
          <w:sz w:val="20"/>
          <w:highlight w:val="none"/>
          <w:lang w:val="en-US" w:eastAsia="zh-CN" w:bidi="ar-SA"/>
        </w:rPr>
        <w:t xml:space="preserve">belongs to MSD test points, and there are some other parameters such as UL RB allocation and SCS. The MSD for the victim band are derived from the </w:t>
      </w:r>
      <w:bookmarkStart w:id="32" w:name="OLE_LINK35"/>
      <w:r>
        <w:rPr>
          <w:rFonts w:hint="eastAsia" w:eastAsia="等线" w:cs="Times New Roman"/>
          <w:b w:val="0"/>
          <w:i w:val="0"/>
          <w:sz w:val="20"/>
          <w:highlight w:val="none"/>
          <w:lang w:val="en-US" w:eastAsia="zh-CN" w:bidi="ar-SA"/>
        </w:rPr>
        <w:t>REFSEN</w:t>
      </w:r>
      <w:bookmarkEnd w:id="32"/>
      <w:r>
        <w:rPr>
          <w:rFonts w:hint="eastAsia" w:eastAsia="等线" w:cs="Times New Roman"/>
          <w:b w:val="0"/>
          <w:i w:val="0"/>
          <w:sz w:val="20"/>
          <w:highlight w:val="none"/>
          <w:lang w:val="en-US" w:eastAsia="zh-CN" w:bidi="ar-SA"/>
        </w:rPr>
        <w:t xml:space="preserve"> of the </w:t>
      </w:r>
      <w:bookmarkStart w:id="33" w:name="OLE_LINK33"/>
      <w:r>
        <w:rPr>
          <w:rFonts w:hint="eastAsia" w:ascii="Times New Roman" w:hAnsi="Times New Roman" w:eastAsia="等线" w:cs="Times New Roman"/>
          <w:b w:val="0"/>
          <w:i w:val="0"/>
          <w:sz w:val="20"/>
          <w:highlight w:val="none"/>
          <w:lang w:val="en-US" w:eastAsia="zh-CN" w:bidi="ar-SA"/>
        </w:rPr>
        <w:t>victim DL bandwidth</w:t>
      </w:r>
      <w:bookmarkEnd w:id="33"/>
      <w:r>
        <w:rPr>
          <w:rFonts w:hint="eastAsia" w:eastAsia="等线" w:cs="Times New Roman"/>
          <w:b w:val="0"/>
          <w:i w:val="0"/>
          <w:sz w:val="20"/>
          <w:highlight w:val="none"/>
          <w:lang w:val="en-US" w:eastAsia="zh-CN" w:bidi="ar-SA"/>
        </w:rPr>
        <w:t xml:space="preserve">, different </w:t>
      </w:r>
      <w:r>
        <w:rPr>
          <w:rFonts w:hint="eastAsia" w:ascii="Times New Roman" w:hAnsi="Times New Roman" w:eastAsia="等线" w:cs="Times New Roman"/>
          <w:b w:val="0"/>
          <w:i w:val="0"/>
          <w:sz w:val="20"/>
          <w:highlight w:val="none"/>
          <w:lang w:val="en-US" w:eastAsia="zh-CN" w:bidi="ar-SA"/>
        </w:rPr>
        <w:t>victim DL bandwidth</w:t>
      </w:r>
      <w:r>
        <w:rPr>
          <w:rFonts w:hint="eastAsia" w:eastAsia="等线" w:cs="Times New Roman"/>
          <w:b w:val="0"/>
          <w:i w:val="0"/>
          <w:sz w:val="20"/>
          <w:highlight w:val="none"/>
          <w:lang w:val="en-US" w:eastAsia="zh-CN" w:bidi="ar-SA"/>
        </w:rPr>
        <w:t xml:space="preserve"> has different REFSEN values which will cause different MSD values, and the MSD values for different </w:t>
      </w:r>
      <w:bookmarkStart w:id="34" w:name="OLE_LINK34"/>
      <w:r>
        <w:rPr>
          <w:rFonts w:hint="eastAsia" w:ascii="Times New Roman" w:hAnsi="Times New Roman" w:eastAsia="等线" w:cs="Times New Roman"/>
          <w:b w:val="0"/>
          <w:i w:val="0"/>
          <w:sz w:val="20"/>
          <w:highlight w:val="none"/>
          <w:lang w:val="en-US" w:eastAsia="zh-CN" w:bidi="ar-SA"/>
        </w:rPr>
        <w:t>victim DL bandwidth</w:t>
      </w:r>
      <w:r>
        <w:rPr>
          <w:rFonts w:hint="eastAsia" w:eastAsia="等线" w:cs="Times New Roman"/>
          <w:b w:val="0"/>
          <w:i w:val="0"/>
          <w:sz w:val="20"/>
          <w:highlight w:val="none"/>
          <w:lang w:val="en-US" w:eastAsia="zh-CN" w:bidi="ar-SA"/>
        </w:rPr>
        <w:t>s</w:t>
      </w:r>
      <w:bookmarkEnd w:id="34"/>
      <w:r>
        <w:rPr>
          <w:rFonts w:hint="eastAsia" w:eastAsia="等线" w:cs="Times New Roman"/>
          <w:b w:val="0"/>
          <w:i w:val="0"/>
          <w:sz w:val="20"/>
          <w:highlight w:val="none"/>
          <w:lang w:val="en-US" w:eastAsia="zh-CN" w:bidi="ar-SA"/>
        </w:rPr>
        <w:t xml:space="preserve"> (i.e. min. and/or max. BW) are defined. So in our understanding, the improved MSD may also be difference for different </w:t>
      </w:r>
      <w:r>
        <w:rPr>
          <w:rFonts w:hint="eastAsia" w:ascii="Times New Roman" w:hAnsi="Times New Roman" w:eastAsia="等线" w:cs="Times New Roman"/>
          <w:b w:val="0"/>
          <w:i w:val="0"/>
          <w:sz w:val="20"/>
          <w:highlight w:val="none"/>
          <w:lang w:val="en-US" w:eastAsia="zh-CN" w:bidi="ar-SA"/>
        </w:rPr>
        <w:t>victim DL bandwidth</w:t>
      </w:r>
      <w:r>
        <w:rPr>
          <w:rFonts w:hint="eastAsia" w:eastAsia="等线" w:cs="Times New Roman"/>
          <w:b w:val="0"/>
          <w:i w:val="0"/>
          <w:sz w:val="20"/>
          <w:highlight w:val="none"/>
          <w:lang w:val="en-US" w:eastAsia="zh-CN" w:bidi="ar-SA"/>
        </w:rPr>
        <w:t xml:space="preserve">s for some band combination, especially when the REFSEN value was largely degraded for the large bandwidth for a the constitute FDD band. </w:t>
      </w:r>
    </w:p>
    <w:p>
      <w:pPr>
        <w:widowControl w:val="0"/>
        <w:numPr>
          <w:ilvl w:val="-1"/>
          <w:numId w:val="0"/>
        </w:numPr>
        <w:overflowPunct/>
        <w:autoSpaceDE/>
        <w:autoSpaceDN/>
        <w:adjustRightInd/>
        <w:snapToGrid/>
        <w:spacing w:before="120" w:after="120" w:line="240" w:lineRule="auto"/>
        <w:ind w:left="0" w:firstLine="0" w:firstLineChars="0"/>
        <w:textAlignment w:val="auto"/>
        <w:rPr>
          <w:rFonts w:hint="default" w:eastAsia="等线" w:cs="Times New Roman"/>
          <w:b w:val="0"/>
          <w:i w:val="0"/>
          <w:sz w:val="20"/>
          <w:highlight w:val="none"/>
          <w:lang w:val="en-US" w:eastAsia="zh-CN" w:bidi="ar-SA"/>
        </w:rPr>
      </w:pPr>
      <w:r>
        <w:rPr>
          <w:rFonts w:hint="eastAsia" w:eastAsia="等线" w:cs="Times New Roman"/>
          <w:b w:val="0"/>
          <w:i w:val="0"/>
          <w:sz w:val="20"/>
          <w:highlight w:val="none"/>
          <w:lang w:val="en-US" w:eastAsia="zh-CN" w:bidi="ar-SA"/>
        </w:rPr>
        <w:t>For</w:t>
      </w:r>
      <w:r>
        <w:rPr>
          <w:rFonts w:hint="eastAsia" w:eastAsia="等线" w:cs="Times New Roman"/>
          <w:sz w:val="20"/>
          <w:highlight w:val="none"/>
          <w:lang w:val="en-US" w:eastAsia="zh-CN" w:bidi="ar-SA"/>
        </w:rPr>
        <w:t xml:space="preserve"> </w:t>
      </w:r>
      <w:bookmarkStart w:id="35" w:name="OLE_LINK42"/>
      <w:r>
        <w:rPr>
          <w:rFonts w:hint="eastAsia" w:ascii="Times New Roman" w:hAnsi="Times New Roman" w:eastAsia="等线" w:cs="Times New Roman"/>
          <w:b w:val="0"/>
          <w:i w:val="0"/>
          <w:sz w:val="20"/>
          <w:highlight w:val="none"/>
          <w:lang w:val="en-US" w:eastAsia="zh-CN" w:bidi="ar-SA"/>
        </w:rPr>
        <w:t>Aggressor UL</w:t>
      </w:r>
      <w:r>
        <w:rPr>
          <w:rFonts w:hint="eastAsia" w:eastAsia="等线" w:cs="Times New Roman"/>
          <w:b w:val="0"/>
          <w:i w:val="0"/>
          <w:sz w:val="20"/>
          <w:highlight w:val="none"/>
          <w:lang w:val="en-US" w:eastAsia="zh-CN" w:bidi="ar-SA"/>
        </w:rPr>
        <w:t xml:space="preserve"> BW</w:t>
      </w:r>
      <w:bookmarkEnd w:id="35"/>
      <w:r>
        <w:rPr>
          <w:rFonts w:hint="eastAsia" w:eastAsia="等线" w:cs="Times New Roman"/>
          <w:b w:val="0"/>
          <w:i w:val="0"/>
          <w:sz w:val="20"/>
          <w:highlight w:val="none"/>
          <w:lang w:val="en-US" w:eastAsia="zh-CN" w:bidi="ar-SA"/>
        </w:rPr>
        <w:t xml:space="preserve">, </w:t>
      </w:r>
      <w:bookmarkStart w:id="36" w:name="OLE_LINK48"/>
      <w:r>
        <w:rPr>
          <w:rFonts w:hint="eastAsia" w:eastAsia="等线" w:cs="Times New Roman"/>
          <w:b w:val="0"/>
          <w:i w:val="0"/>
          <w:sz w:val="20"/>
          <w:highlight w:val="none"/>
          <w:lang w:val="en-US" w:eastAsia="zh-CN" w:bidi="ar-SA"/>
        </w:rPr>
        <w:t>seemingly</w:t>
      </w:r>
      <w:bookmarkEnd w:id="36"/>
      <w:r>
        <w:rPr>
          <w:rFonts w:hint="eastAsia" w:eastAsia="等线" w:cs="Times New Roman"/>
          <w:b w:val="0"/>
          <w:i w:val="0"/>
          <w:sz w:val="20"/>
          <w:highlight w:val="none"/>
          <w:lang w:val="en-US" w:eastAsia="zh-CN" w:bidi="ar-SA"/>
        </w:rPr>
        <w:t xml:space="preserve"> it is just for the conditions for the worst case, and it would not impact the MSD values if we only consider full frequency range of the harmonic/IMD products. So whether to include the </w:t>
      </w:r>
      <w:r>
        <w:rPr>
          <w:rFonts w:hint="eastAsia" w:ascii="Times New Roman" w:hAnsi="Times New Roman" w:eastAsia="等线" w:cs="Times New Roman"/>
          <w:b w:val="0"/>
          <w:i w:val="0"/>
          <w:sz w:val="20"/>
          <w:highlight w:val="none"/>
          <w:lang w:val="en-US" w:eastAsia="zh-CN" w:bidi="ar-SA"/>
        </w:rPr>
        <w:t>Aggressor UL</w:t>
      </w:r>
      <w:r>
        <w:rPr>
          <w:rFonts w:hint="eastAsia" w:eastAsia="等线" w:cs="Times New Roman"/>
          <w:b w:val="0"/>
          <w:i w:val="0"/>
          <w:sz w:val="20"/>
          <w:highlight w:val="none"/>
          <w:lang w:val="en-US" w:eastAsia="zh-CN" w:bidi="ar-SA"/>
        </w:rPr>
        <w:t xml:space="preserve"> BW needs further study. </w:t>
      </w:r>
    </w:p>
    <w:p>
      <w:pPr>
        <w:widowControl w:val="0"/>
        <w:numPr>
          <w:ilvl w:val="-1"/>
          <w:numId w:val="0"/>
        </w:numPr>
        <w:overflowPunct/>
        <w:autoSpaceDE/>
        <w:autoSpaceDN/>
        <w:adjustRightInd/>
        <w:snapToGrid/>
        <w:spacing w:before="120" w:after="120" w:line="240" w:lineRule="auto"/>
        <w:ind w:left="0" w:firstLine="0" w:firstLineChars="0"/>
        <w:textAlignment w:val="auto"/>
        <w:rPr>
          <w:rFonts w:hint="default" w:ascii="Times New Roman" w:hAnsi="Times New Roman" w:eastAsia="等线" w:cs="Times New Roman"/>
          <w:b w:val="0"/>
          <w:i w:val="0"/>
          <w:sz w:val="20"/>
          <w:highlight w:val="none"/>
          <w:lang w:val="en-US" w:eastAsia="zh-CN" w:bidi="ar-SA"/>
        </w:rPr>
      </w:pPr>
      <w:r>
        <w:rPr>
          <w:rFonts w:hint="eastAsia" w:eastAsia="等线" w:cs="Times New Roman"/>
          <w:b w:val="0"/>
          <w:i w:val="0"/>
          <w:sz w:val="20"/>
          <w:highlight w:val="none"/>
          <w:lang w:val="en-US" w:eastAsia="zh-CN" w:bidi="ar-SA"/>
        </w:rPr>
        <w:t xml:space="preserve">It should be noted that the ENDC and NR CA MSD table templates are still different as of now, but it is expected that the ENDC MSD table templates will be kept consistence with NR CA in future. </w:t>
      </w:r>
    </w:p>
    <w:p>
      <w:pPr>
        <w:widowControl w:val="0"/>
        <w:numPr>
          <w:ilvl w:val="-1"/>
          <w:numId w:val="0"/>
        </w:numPr>
        <w:overflowPunct/>
        <w:autoSpaceDE/>
        <w:autoSpaceDN/>
        <w:adjustRightInd/>
        <w:snapToGrid/>
        <w:spacing w:before="120" w:beforeLines="0" w:after="120" w:afterLines="0" w:line="240" w:lineRule="auto"/>
        <w:ind w:left="0" w:firstLine="0" w:firstLineChars="0"/>
        <w:jc w:val="left"/>
        <w:textAlignment w:val="auto"/>
        <w:rPr>
          <w:rFonts w:hint="default" w:ascii="Times New Roman" w:hAnsi="Times New Roman" w:eastAsia="宋体" w:cs="Times New Roman"/>
          <w:b/>
          <w:bCs/>
          <w:i/>
          <w:iCs/>
          <w:sz w:val="20"/>
          <w:highlight w:val="none"/>
          <w:lang w:val="en-US" w:eastAsia="zh-CN" w:bidi="ar-SA"/>
        </w:rPr>
      </w:pPr>
      <w:bookmarkStart w:id="37" w:name="OLE_LINK8"/>
      <w:r>
        <w:rPr>
          <w:rFonts w:hint="eastAsia"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2</w:t>
      </w:r>
      <w:r>
        <w:rPr>
          <w:rFonts w:hint="eastAsia" w:eastAsia="宋体" w:cs="Times New Roman"/>
          <w:b/>
          <w:bCs/>
          <w:i/>
          <w:iCs/>
          <w:kern w:val="2"/>
          <w:sz w:val="20"/>
          <w:szCs w:val="20"/>
          <w:highlight w:val="none"/>
          <w:lang w:val="en-US" w:eastAsia="zh-CN" w:bidi="ar-SA"/>
        </w:rPr>
        <w:t xml:space="preserve">. To </w:t>
      </w:r>
      <w:r>
        <w:rPr>
          <w:rFonts w:hint="eastAsia" w:cs="Times New Roman"/>
          <w:b/>
          <w:bCs/>
          <w:i/>
          <w:iCs/>
          <w:kern w:val="2"/>
          <w:sz w:val="20"/>
          <w:szCs w:val="20"/>
          <w:highlight w:val="none"/>
          <w:lang w:val="en-US" w:eastAsia="zh-CN" w:bidi="ar-SA"/>
        </w:rPr>
        <w:t xml:space="preserve">include </w:t>
      </w:r>
      <w:r>
        <w:rPr>
          <w:rFonts w:hint="eastAsia" w:ascii="Times New Roman" w:hAnsi="Times New Roman" w:eastAsia="宋体" w:cs="Times New Roman"/>
          <w:b/>
          <w:bCs/>
          <w:i/>
          <w:iCs/>
          <w:sz w:val="20"/>
          <w:highlight w:val="none"/>
          <w:lang w:val="en-US" w:eastAsia="zh-CN" w:bidi="ar-SA"/>
        </w:rPr>
        <w:t>Power class of the aggressor UL</w:t>
      </w:r>
      <w:r>
        <w:rPr>
          <w:rFonts w:hint="eastAsia" w:cs="Times New Roman"/>
          <w:b/>
          <w:bCs/>
          <w:i/>
          <w:iCs/>
          <w:sz w:val="20"/>
          <w:highlight w:val="none"/>
          <w:lang w:val="en-US" w:eastAsia="zh-CN" w:bidi="ar-SA"/>
        </w:rPr>
        <w:t xml:space="preserve"> and </w:t>
      </w:r>
      <w:r>
        <w:rPr>
          <w:rFonts w:hint="eastAsia" w:ascii="Times New Roman" w:hAnsi="Times New Roman" w:eastAsia="宋体" w:cs="Times New Roman"/>
          <w:b/>
          <w:bCs/>
          <w:i/>
          <w:iCs/>
          <w:sz w:val="20"/>
          <w:highlight w:val="none"/>
          <w:lang w:val="en-US" w:eastAsia="zh-CN" w:bidi="ar-SA"/>
        </w:rPr>
        <w:t xml:space="preserve">victim DL </w:t>
      </w:r>
      <w:bookmarkStart w:id="38" w:name="OLE_LINK45"/>
      <w:r>
        <w:rPr>
          <w:rFonts w:hint="eastAsia" w:ascii="Times New Roman" w:hAnsi="Times New Roman" w:eastAsia="宋体" w:cs="Times New Roman"/>
          <w:b/>
          <w:bCs/>
          <w:i/>
          <w:iCs/>
          <w:sz w:val="20"/>
          <w:highlight w:val="none"/>
          <w:lang w:val="en-US" w:eastAsia="zh-CN" w:bidi="ar-SA"/>
        </w:rPr>
        <w:t>bandwidth</w:t>
      </w:r>
      <w:bookmarkEnd w:id="38"/>
      <w:r>
        <w:rPr>
          <w:rFonts w:hint="eastAsia" w:cs="Times New Roman"/>
          <w:b/>
          <w:bCs/>
          <w:i/>
          <w:iCs/>
          <w:sz w:val="20"/>
          <w:highlight w:val="none"/>
          <w:lang w:val="en-US" w:eastAsia="zh-CN" w:bidi="ar-SA"/>
        </w:rPr>
        <w:t xml:space="preserve"> additionally </w:t>
      </w:r>
      <w:r>
        <w:rPr>
          <w:rFonts w:hint="eastAsia" w:eastAsia="宋体" w:cs="Times New Roman"/>
          <w:b/>
          <w:bCs/>
          <w:i/>
          <w:iCs/>
          <w:sz w:val="20"/>
          <w:highlight w:val="none"/>
          <w:lang w:val="en-US" w:eastAsia="zh-CN" w:bidi="ar-SA"/>
        </w:rPr>
        <w:t>in the lower MSD capability reporting</w:t>
      </w:r>
      <w:r>
        <w:rPr>
          <w:rFonts w:hint="eastAsia" w:cs="Times New Roman"/>
          <w:b/>
          <w:bCs/>
          <w:i/>
          <w:iCs/>
          <w:sz w:val="20"/>
          <w:highlight w:val="none"/>
          <w:lang w:val="en-US" w:eastAsia="zh-CN" w:bidi="ar-SA"/>
        </w:rPr>
        <w:t xml:space="preserve">. FFS on </w:t>
      </w:r>
      <w:r>
        <w:rPr>
          <w:rFonts w:hint="eastAsia" w:ascii="Times New Roman" w:hAnsi="Times New Roman" w:eastAsia="宋体" w:cs="Times New Roman"/>
          <w:b/>
          <w:bCs/>
          <w:i/>
          <w:iCs/>
          <w:sz w:val="20"/>
          <w:highlight w:val="none"/>
          <w:lang w:val="en-US" w:eastAsia="zh-CN" w:bidi="ar-SA"/>
        </w:rPr>
        <w:t>Aggressor UL</w:t>
      </w:r>
      <w:r>
        <w:rPr>
          <w:rFonts w:hint="eastAsia" w:eastAsia="宋体" w:cs="Times New Roman"/>
          <w:b/>
          <w:bCs/>
          <w:i/>
          <w:iCs/>
          <w:sz w:val="20"/>
          <w:highlight w:val="none"/>
          <w:lang w:val="en-US" w:eastAsia="zh-CN" w:bidi="ar-SA"/>
        </w:rPr>
        <w:t xml:space="preserve"> </w:t>
      </w:r>
      <w:r>
        <w:rPr>
          <w:rFonts w:hint="eastAsia" w:ascii="Times New Roman" w:hAnsi="Times New Roman" w:eastAsia="宋体" w:cs="Times New Roman"/>
          <w:b/>
          <w:bCs/>
          <w:i/>
          <w:iCs/>
          <w:sz w:val="20"/>
          <w:highlight w:val="none"/>
          <w:lang w:val="en-US" w:eastAsia="zh-CN" w:bidi="ar-SA"/>
        </w:rPr>
        <w:t>bandwidth</w:t>
      </w:r>
      <w:r>
        <w:rPr>
          <w:rFonts w:hint="eastAsia" w:cs="Times New Roman"/>
          <w:b/>
          <w:bCs/>
          <w:i/>
          <w:iCs/>
          <w:sz w:val="20"/>
          <w:highlight w:val="none"/>
          <w:lang w:val="en-US" w:eastAsia="zh-CN" w:bidi="ar-SA"/>
        </w:rPr>
        <w:t>.</w:t>
      </w:r>
    </w:p>
    <w:bookmarkEnd w:id="37"/>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sz w:val="20"/>
          <w:szCs w:val="20"/>
          <w:lang w:val="en-US" w:eastAsia="zh-CN" w:bidi="ar-SA"/>
        </w:rPr>
      </w:pPr>
      <w:r>
        <w:rPr>
          <w:rFonts w:hint="eastAsia" w:eastAsia="等线"/>
          <w:sz w:val="20"/>
          <w:szCs w:val="20"/>
          <w:highlight w:val="none"/>
          <w:lang w:val="en-US" w:eastAsia="zh-CN"/>
        </w:rPr>
        <w:t xml:space="preserve">For </w:t>
      </w:r>
      <w:r>
        <w:rPr>
          <w:rFonts w:hint="eastAsia" w:ascii="Times New Roman" w:hAnsi="Times New Roman" w:eastAsia="等线"/>
          <w:b w:val="0"/>
          <w:i w:val="0"/>
          <w:sz w:val="20"/>
          <w:highlight w:val="none"/>
          <w:u w:val="none"/>
          <w:lang w:eastAsia="zh-CN"/>
        </w:rPr>
        <w:t>Candidate MSD thresholds</w:t>
      </w:r>
      <w:r>
        <w:rPr>
          <w:rFonts w:hint="eastAsia" w:eastAsia="等线"/>
          <w:b w:val="0"/>
          <w:i w:val="0"/>
          <w:sz w:val="20"/>
          <w:highlight w:val="none"/>
          <w:u w:val="none"/>
          <w:lang w:val="en-US" w:eastAsia="zh-CN"/>
        </w:rPr>
        <w:t>, as we discussed in [4], i</w:t>
      </w:r>
      <w:r>
        <w:rPr>
          <w:rFonts w:hint="eastAsia" w:cs="Times New Roman"/>
          <w:b w:val="0"/>
          <w:bCs w:val="0"/>
          <w:kern w:val="0"/>
          <w:sz w:val="20"/>
          <w:szCs w:val="20"/>
          <w:highlight w:val="none"/>
          <w:lang w:val="en-US" w:eastAsia="zh-CN"/>
        </w:rPr>
        <w:t xml:space="preserve">t would be complexity for the signnaling if different thresholds are defined for each MSD types and aggressor power class. Due to the actual MSD would be reported by the lower MSD signalling, it is fine to define identical thresholds for all the MSD types, even for all aggressor power class. With the lower MSD signalling reporting, UE can report different MSD values within the range of the </w:t>
      </w:r>
      <w:r>
        <w:rPr>
          <w:rFonts w:ascii="Times New Roman" w:hAnsi="Times New Roman" w:eastAsia="宋体" w:cs="Times New Roman"/>
          <w:sz w:val="20"/>
          <w:szCs w:val="20"/>
          <w:lang w:val="en-GB" w:eastAsia="en-US" w:bidi="ar-SA"/>
        </w:rPr>
        <w:t>multiple thresholds</w:t>
      </w:r>
      <w:r>
        <w:rPr>
          <w:rFonts w:hint="eastAsia" w:cs="Times New Roman"/>
          <w:sz w:val="20"/>
          <w:szCs w:val="20"/>
          <w:lang w:val="en-US" w:eastAsia="zh-CN" w:bidi="ar-SA"/>
        </w:rPr>
        <w:t>, relies on MSD types and/or power class.</w:t>
      </w:r>
    </w:p>
    <w:p>
      <w:pPr>
        <w:bidi w:val="0"/>
        <w:rPr>
          <w:rFonts w:hint="default" w:cs="Times New Roman"/>
          <w:sz w:val="20"/>
          <w:szCs w:val="20"/>
          <w:lang w:val="en-US" w:eastAsia="zh-CN" w:bidi="ar-SA"/>
        </w:rPr>
      </w:pPr>
      <w:r>
        <w:rPr>
          <w:rFonts w:hint="eastAsia" w:cs="Times New Roman"/>
          <w:sz w:val="20"/>
          <w:szCs w:val="20"/>
          <w:lang w:val="en-US" w:eastAsia="zh-CN" w:bidi="ar-SA"/>
        </w:rPr>
        <w:t xml:space="preserve">Moreover, considering </w:t>
      </w:r>
      <w:r>
        <w:rPr>
          <w:rFonts w:hint="eastAsia" w:eastAsia="等线"/>
          <w:sz w:val="20"/>
          <w:szCs w:val="20"/>
          <w:highlight w:val="none"/>
          <w:lang w:val="en-US" w:eastAsia="zh-CN"/>
        </w:rPr>
        <w:t xml:space="preserve">there are lots of the values are in between the values of </w:t>
      </w:r>
      <w:r>
        <w:rPr>
          <w:rFonts w:hint="eastAsia" w:cs="Times New Roman"/>
          <w:sz w:val="20"/>
          <w:szCs w:val="20"/>
          <w:lang w:val="en-US" w:eastAsia="zh-CN" w:bidi="ar-SA"/>
        </w:rPr>
        <w:t xml:space="preserve">[0, 5, 10, 15]dB, and larger MSD values for higher power for each transmitter compared to PC3, also the band combination such as LB-LB/LB-LB-LB combination should be taken into account, the upper limit of 15dB would not be enough. Therefore, </w:t>
      </w:r>
      <w:r>
        <w:rPr>
          <w:rFonts w:hint="eastAsia" w:eastAsia="等线"/>
          <w:b w:val="0"/>
          <w:i w:val="0"/>
          <w:sz w:val="20"/>
          <w:highlight w:val="none"/>
          <w:u w:val="none"/>
          <w:lang w:val="en-US" w:eastAsia="zh-CN"/>
        </w:rPr>
        <w:t>we think</w:t>
      </w:r>
      <w:r>
        <w:rPr>
          <w:rFonts w:hint="eastAsia" w:cs="Times New Roman"/>
          <w:sz w:val="20"/>
          <w:szCs w:val="20"/>
          <w:lang w:val="en-US" w:eastAsia="zh-CN" w:bidi="ar-SA"/>
        </w:rPr>
        <w:t xml:space="preserve"> small granularity and more than 15dBm upper limit thresholds should be considered, such as [0, 2.5, 5, 7.5, 10, 12.5, 15, 17.5, 20].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cs="Times New Roman"/>
          <w:b/>
          <w:bCs/>
          <w:i/>
          <w:iCs/>
          <w:sz w:val="20"/>
          <w:szCs w:val="20"/>
          <w:lang w:val="en-US" w:eastAsia="zh-CN" w:bidi="ar-SA"/>
        </w:rPr>
      </w:pPr>
      <w:bookmarkStart w:id="39" w:name="OLE_LINK3"/>
      <w:r>
        <w:rPr>
          <w:rFonts w:hint="eastAsia" w:cs="Times New Roman"/>
          <w:b/>
          <w:bCs/>
          <w:i/>
          <w:iCs/>
          <w:sz w:val="20"/>
          <w:szCs w:val="20"/>
          <w:lang w:val="en-US" w:eastAsia="zh-CN" w:bidi="ar-SA"/>
        </w:rPr>
        <w:t>Proposal 3. I</w:t>
      </w:r>
      <w:r>
        <w:rPr>
          <w:rFonts w:hint="eastAsia" w:ascii="Times New Roman" w:hAnsi="Times New Roman" w:eastAsia="宋体" w:cs="Times New Roman"/>
          <w:b/>
          <w:bCs/>
          <w:i/>
          <w:iCs/>
          <w:sz w:val="20"/>
          <w:szCs w:val="20"/>
          <w:lang w:val="en-US" w:eastAsia="zh-CN" w:bidi="ar-SA"/>
        </w:rPr>
        <w:t>dentical thresholds can be applicable to all the MSD types and aggressor power class</w:t>
      </w:r>
      <w:r>
        <w:rPr>
          <w:rFonts w:hint="eastAsia" w:cs="Times New Roman"/>
          <w:b/>
          <w:bCs/>
          <w:i/>
          <w:iCs/>
          <w:sz w:val="20"/>
          <w:szCs w:val="20"/>
          <w:lang w:val="en-US" w:eastAsia="zh-CN" w:bidi="ar-SA"/>
        </w:rPr>
        <w:t>, and UE can report different MSD values within the range of the i</w:t>
      </w:r>
      <w:r>
        <w:rPr>
          <w:rFonts w:hint="eastAsia" w:ascii="Times New Roman" w:hAnsi="Times New Roman" w:eastAsia="宋体" w:cs="Times New Roman"/>
          <w:b/>
          <w:bCs/>
          <w:i/>
          <w:iCs/>
          <w:sz w:val="20"/>
          <w:szCs w:val="20"/>
          <w:lang w:val="en-US" w:eastAsia="zh-CN" w:bidi="ar-SA"/>
        </w:rPr>
        <w:t xml:space="preserve">dentical </w:t>
      </w:r>
      <w:r>
        <w:rPr>
          <w:rFonts w:hint="eastAsia" w:cs="Times New Roman"/>
          <w:b/>
          <w:bCs/>
          <w:i/>
          <w:iCs/>
          <w:sz w:val="20"/>
          <w:szCs w:val="20"/>
          <w:lang w:val="en-US" w:eastAsia="zh-CN" w:bidi="ar-SA"/>
        </w:rPr>
        <w:t>multiple thresholds, relies on MSD types and/or power class.</w:t>
      </w:r>
    </w:p>
    <w:p>
      <w:pPr>
        <w:widowControl w:val="0"/>
        <w:bidi w:val="0"/>
        <w:spacing w:before="120" w:beforeLines="0" w:after="120" w:afterLines="0" w:line="240" w:lineRule="auto"/>
        <w:jc w:val="left"/>
        <w:rPr>
          <w:rFonts w:hint="eastAsia" w:cs="Times New Roman"/>
          <w:b/>
          <w:bCs/>
          <w:i/>
          <w:iCs/>
          <w:sz w:val="20"/>
          <w:szCs w:val="20"/>
          <w:lang w:val="en-US" w:eastAsia="zh-CN" w:bidi="ar-SA"/>
        </w:rPr>
      </w:pPr>
      <w:r>
        <w:rPr>
          <w:rFonts w:hint="eastAsia" w:cs="Times New Roman"/>
          <w:b/>
          <w:bCs/>
          <w:i/>
          <w:iCs/>
          <w:sz w:val="20"/>
          <w:szCs w:val="20"/>
          <w:lang w:val="en-US" w:eastAsia="zh-CN" w:bidi="ar-SA"/>
        </w:rPr>
        <w:t xml:space="preserve">Proposal 4. Small granularity and more higher upper limit thresholds should be considered for multiple </w:t>
      </w:r>
      <w:r>
        <w:rPr>
          <w:rFonts w:hint="eastAsia" w:ascii="Times New Roman" w:hAnsi="Times New Roman" w:eastAsia="宋体" w:cs="Times New Roman"/>
          <w:b/>
          <w:bCs/>
          <w:i/>
          <w:iCs/>
          <w:sz w:val="20"/>
          <w:szCs w:val="20"/>
          <w:lang w:val="en-US" w:eastAsia="zh-CN" w:bidi="ar-SA"/>
        </w:rPr>
        <w:t>thresholds</w:t>
      </w:r>
      <w:r>
        <w:rPr>
          <w:rFonts w:hint="eastAsia" w:cs="Times New Roman"/>
          <w:b/>
          <w:bCs/>
          <w:i/>
          <w:iCs/>
          <w:sz w:val="20"/>
          <w:szCs w:val="20"/>
          <w:lang w:val="en-US" w:eastAsia="zh-CN" w:bidi="ar-SA"/>
        </w:rPr>
        <w:t>.</w:t>
      </w:r>
    </w:p>
    <w:bookmarkEnd w:id="39"/>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ascii="Times New Roman" w:hAnsi="Times New Roman" w:eastAsia="宋体" w:cs="Times New Roman"/>
          <w:b/>
          <w:kern w:val="2"/>
          <w:sz w:val="20"/>
          <w:szCs w:val="20"/>
          <w:highlight w:val="none"/>
          <w:u w:val="single"/>
          <w:lang w:val="en-US" w:eastAsia="zh-CN" w:bidi="ar-SA"/>
        </w:rPr>
      </w:pPr>
      <w:bookmarkStart w:id="40" w:name="OLE_LINK94"/>
      <w:r>
        <w:rPr>
          <w:rFonts w:hint="eastAsia" w:cs="Times New Roman"/>
          <w:b/>
          <w:kern w:val="2"/>
          <w:sz w:val="20"/>
          <w:szCs w:val="20"/>
          <w:highlight w:val="none"/>
          <w:u w:val="single"/>
          <w:lang w:val="en-US" w:eastAsia="zh-CN" w:bidi="ar-SA"/>
        </w:rPr>
        <w:t>2.</w:t>
      </w:r>
      <w:bookmarkEnd w:id="40"/>
      <w:r>
        <w:rPr>
          <w:rFonts w:hint="eastAsia" w:cs="Times New Roman"/>
          <w:b/>
          <w:kern w:val="2"/>
          <w:sz w:val="20"/>
          <w:szCs w:val="20"/>
          <w:highlight w:val="none"/>
          <w:u w:val="single"/>
          <w:lang w:val="en-US" w:eastAsia="zh-CN" w:bidi="ar-SA"/>
        </w:rPr>
        <w:t>3 ENDC/NR CA</w:t>
      </w:r>
    </w:p>
    <w:bookmarkEnd w:id="4"/>
    <w:p>
      <w:pPr>
        <w:keepNext w:val="0"/>
        <w:keepLines w:val="0"/>
        <w:pageBreakBefore w:val="0"/>
        <w:kinsoku/>
        <w:wordWrap/>
        <w:overflowPunct/>
        <w:topLinePunct w:val="0"/>
        <w:autoSpaceDE/>
        <w:autoSpaceDN/>
        <w:bidi w:val="0"/>
        <w:adjustRightInd/>
        <w:snapToGrid/>
        <w:spacing w:beforeLines="0" w:after="180" w:afterLines="0" w:line="240" w:lineRule="auto"/>
        <w:textAlignment w:val="auto"/>
        <w:rPr>
          <w:rFonts w:hint="default" w:eastAsia="等线"/>
          <w:sz w:val="20"/>
          <w:szCs w:val="20"/>
          <w:highlight w:val="none"/>
          <w:lang w:val="en-US" w:eastAsia="zh-CN"/>
        </w:rPr>
      </w:pPr>
      <w:r>
        <w:rPr>
          <w:rFonts w:hint="eastAsia" w:eastAsia="等线"/>
          <w:sz w:val="20"/>
          <w:szCs w:val="20"/>
          <w:highlight w:val="none"/>
          <w:lang w:val="en-US" w:eastAsia="zh-CN"/>
        </w:rPr>
        <w:t xml:space="preserve">In terms of the objectives of the WID, </w:t>
      </w:r>
      <w:bookmarkStart w:id="41" w:name="OLE_LINK72"/>
      <w:bookmarkStart w:id="42" w:name="OLE_LINK79"/>
      <w:r>
        <w:rPr>
          <w:rFonts w:hint="eastAsia"/>
          <w:b w:val="0"/>
          <w:bCs/>
          <w:sz w:val="20"/>
          <w:lang w:val="en-US" w:eastAsia="zh-CN"/>
        </w:rPr>
        <w:t>i</w:t>
      </w:r>
      <w:r>
        <w:rPr>
          <w:rFonts w:hint="eastAsia" w:eastAsia="等线"/>
          <w:b w:val="0"/>
          <w:sz w:val="20"/>
          <w:highlight w:val="none"/>
          <w:lang w:val="en-US" w:eastAsia="zh-CN"/>
        </w:rPr>
        <w:t>nter-band CA/EN-DC/DC</w:t>
      </w:r>
      <w:bookmarkEnd w:id="41"/>
      <w:r>
        <w:rPr>
          <w:rFonts w:hint="eastAsia" w:eastAsia="等线"/>
          <w:b w:val="0"/>
          <w:sz w:val="20"/>
          <w:highlight w:val="none"/>
          <w:lang w:val="en-US" w:eastAsia="zh-CN"/>
        </w:rPr>
        <w:t xml:space="preserve"> combinations were involved </w:t>
      </w:r>
      <w:bookmarkEnd w:id="42"/>
      <w:r>
        <w:rPr>
          <w:rFonts w:hint="eastAsia" w:eastAsia="等线"/>
          <w:b w:val="0"/>
          <w:sz w:val="20"/>
          <w:highlight w:val="none"/>
          <w:lang w:val="en-US" w:eastAsia="zh-CN"/>
        </w:rPr>
        <w:t>for the feasibility study of lower MSD. Although some band combination examples were approved in the WF [2], the selected band combination were all for inter-band NR CA band combination, which are:</w:t>
      </w:r>
    </w:p>
    <w:p>
      <w:pPr>
        <w:pStyle w:val="33"/>
        <w:numPr>
          <w:ilvl w:val="0"/>
          <w:numId w:val="12"/>
        </w:numPr>
        <w:overflowPunct w:val="0"/>
        <w:autoSpaceDE w:val="0"/>
        <w:autoSpaceDN w:val="0"/>
        <w:adjustRightInd w:val="0"/>
        <w:spacing w:after="72" w:afterLines="30"/>
        <w:ind w:firstLineChars="0"/>
        <w:textAlignment w:val="baseline"/>
        <w:rPr>
          <w:rFonts w:hint="eastAsia" w:eastAsia="等线"/>
          <w:sz w:val="20"/>
          <w:szCs w:val="20"/>
          <w:highlight w:val="none"/>
          <w:lang w:val="en-US" w:eastAsia="zh-CN"/>
        </w:rPr>
      </w:pPr>
      <w:r>
        <w:rPr>
          <w:rFonts w:hint="eastAsia" w:eastAsia="等线"/>
          <w:sz w:val="20"/>
          <w:szCs w:val="20"/>
          <w:highlight w:val="none"/>
          <w:lang w:val="en-US" w:eastAsia="zh-CN"/>
        </w:rPr>
        <w:t>CA_n28-n40 (harmonic mixing)</w:t>
      </w:r>
    </w:p>
    <w:p>
      <w:pPr>
        <w:pStyle w:val="33"/>
        <w:numPr>
          <w:ilvl w:val="0"/>
          <w:numId w:val="12"/>
        </w:numPr>
        <w:overflowPunct w:val="0"/>
        <w:autoSpaceDE w:val="0"/>
        <w:autoSpaceDN w:val="0"/>
        <w:adjustRightInd w:val="0"/>
        <w:spacing w:after="72" w:afterLines="30"/>
        <w:ind w:firstLineChars="0"/>
        <w:textAlignment w:val="baseline"/>
        <w:rPr>
          <w:rFonts w:hint="eastAsia" w:eastAsia="等线"/>
          <w:sz w:val="20"/>
          <w:szCs w:val="20"/>
          <w:highlight w:val="none"/>
          <w:lang w:val="en-US" w:eastAsia="zh-CN"/>
        </w:rPr>
      </w:pPr>
      <w:r>
        <w:rPr>
          <w:rFonts w:hint="eastAsia" w:eastAsia="等线"/>
          <w:sz w:val="20"/>
          <w:szCs w:val="20"/>
          <w:highlight w:val="none"/>
          <w:lang w:val="en-US" w:eastAsia="zh-CN"/>
        </w:rPr>
        <w:t>CA_n41-n77 (cross band isolation)</w:t>
      </w:r>
    </w:p>
    <w:p>
      <w:pPr>
        <w:pStyle w:val="33"/>
        <w:numPr>
          <w:ilvl w:val="0"/>
          <w:numId w:val="12"/>
        </w:numPr>
        <w:overflowPunct w:val="0"/>
        <w:autoSpaceDE w:val="0"/>
        <w:autoSpaceDN w:val="0"/>
        <w:adjustRightInd w:val="0"/>
        <w:spacing w:after="72" w:afterLines="30"/>
        <w:ind w:firstLineChars="0"/>
        <w:textAlignment w:val="baseline"/>
        <w:rPr>
          <w:rFonts w:hint="eastAsia" w:eastAsia="等线"/>
          <w:sz w:val="20"/>
          <w:szCs w:val="20"/>
          <w:highlight w:val="none"/>
          <w:lang w:val="en-US" w:eastAsia="zh-CN"/>
        </w:rPr>
      </w:pPr>
      <w:r>
        <w:rPr>
          <w:rFonts w:hint="eastAsia" w:eastAsia="等线"/>
          <w:sz w:val="20"/>
          <w:szCs w:val="20"/>
          <w:highlight w:val="none"/>
          <w:lang w:val="en-US" w:eastAsia="zh-CN"/>
        </w:rPr>
        <w:t>CA_n1-n3-n78 and fallback combinations (IMD on the 3</w:t>
      </w:r>
      <w:r>
        <w:rPr>
          <w:rFonts w:hint="eastAsia" w:eastAsia="等线"/>
          <w:sz w:val="20"/>
          <w:szCs w:val="20"/>
          <w:highlight w:val="none"/>
          <w:vertAlign w:val="baseline"/>
          <w:lang w:val="en-US" w:eastAsia="zh-CN"/>
        </w:rPr>
        <w:t>rd</w:t>
      </w:r>
      <w:r>
        <w:rPr>
          <w:rFonts w:hint="eastAsia" w:eastAsia="等线"/>
          <w:sz w:val="20"/>
          <w:szCs w:val="20"/>
          <w:highlight w:val="none"/>
          <w:lang w:val="en-US" w:eastAsia="zh-CN"/>
        </w:rPr>
        <w:t xml:space="preserve"> band, cross band isolation on CA_n1-n3 using 50MHz channel bandwidth, IMD2/4 and 2</w:t>
      </w:r>
      <w:r>
        <w:rPr>
          <w:rFonts w:hint="eastAsia" w:eastAsia="等线"/>
          <w:sz w:val="20"/>
          <w:szCs w:val="20"/>
          <w:highlight w:val="none"/>
          <w:vertAlign w:val="baseline"/>
          <w:lang w:val="en-US" w:eastAsia="zh-CN"/>
        </w:rPr>
        <w:t>nd</w:t>
      </w:r>
      <w:r>
        <w:rPr>
          <w:rFonts w:hint="eastAsia" w:eastAsia="等线"/>
          <w:sz w:val="20"/>
          <w:szCs w:val="20"/>
          <w:highlight w:val="none"/>
          <w:lang w:val="en-US" w:eastAsia="zh-CN"/>
        </w:rPr>
        <w:t xml:space="preserve"> harmonic and harmonic mixing on CA_n3-n78)</w:t>
      </w:r>
    </w:p>
    <w:p>
      <w:pPr>
        <w:keepNext w:val="0"/>
        <w:keepLines w:val="0"/>
        <w:pageBreakBefore w:val="0"/>
        <w:kinsoku/>
        <w:wordWrap/>
        <w:overflowPunct/>
        <w:topLinePunct w:val="0"/>
        <w:autoSpaceDE/>
        <w:autoSpaceDN/>
        <w:bidi w:val="0"/>
        <w:adjustRightInd/>
        <w:snapToGrid/>
        <w:spacing w:beforeLines="0" w:after="180" w:afterLines="0" w:line="240" w:lineRule="auto"/>
        <w:textAlignment w:val="auto"/>
        <w:rPr>
          <w:rFonts w:hint="default" w:eastAsia="等线"/>
          <w:b/>
          <w:bCs/>
          <w:i/>
          <w:iCs/>
          <w:sz w:val="20"/>
          <w:szCs w:val="20"/>
          <w:highlight w:val="none"/>
          <w:lang w:val="en-US" w:eastAsia="zh-CN"/>
        </w:rPr>
      </w:pPr>
      <w:bookmarkStart w:id="43" w:name="OLE_LINK9"/>
      <w:r>
        <w:rPr>
          <w:rFonts w:hint="eastAsia" w:eastAsia="等线"/>
          <w:b/>
          <w:bCs/>
          <w:i/>
          <w:iCs/>
          <w:sz w:val="20"/>
          <w:szCs w:val="20"/>
          <w:highlight w:val="none"/>
          <w:lang w:val="en-US" w:eastAsia="zh-CN"/>
        </w:rPr>
        <w:t xml:space="preserve">Observation 2. </w:t>
      </w:r>
      <w:r>
        <w:rPr>
          <w:rFonts w:hint="eastAsia"/>
          <w:b/>
          <w:bCs/>
          <w:i/>
          <w:iCs/>
          <w:sz w:val="20"/>
          <w:lang w:val="en-US" w:eastAsia="zh-CN"/>
        </w:rPr>
        <w:t>I</w:t>
      </w:r>
      <w:r>
        <w:rPr>
          <w:rFonts w:hint="eastAsia" w:eastAsia="等线"/>
          <w:b/>
          <w:bCs/>
          <w:i/>
          <w:iCs/>
          <w:sz w:val="20"/>
          <w:highlight w:val="none"/>
          <w:lang w:val="en-US" w:eastAsia="zh-CN"/>
        </w:rPr>
        <w:t>nter-band CA/EN-DC/DC combinations were involved, but only inter-band CA band combination examples are proposed.</w:t>
      </w:r>
    </w:p>
    <w:bookmarkEnd w:id="43"/>
    <w:p>
      <w:pPr>
        <w:keepNext w:val="0"/>
        <w:keepLines w:val="0"/>
        <w:pageBreakBefore w:val="0"/>
        <w:kinsoku/>
        <w:wordWrap/>
        <w:overflowPunct/>
        <w:topLinePunct w:val="0"/>
        <w:autoSpaceDE/>
        <w:autoSpaceDN/>
        <w:bidi w:val="0"/>
        <w:adjustRightInd/>
        <w:snapToGrid/>
        <w:spacing w:beforeLines="0" w:after="180" w:afterLines="0" w:line="240" w:lineRule="auto"/>
        <w:textAlignment w:val="auto"/>
        <w:rPr>
          <w:rFonts w:hint="default" w:eastAsia="等线"/>
          <w:sz w:val="20"/>
          <w:szCs w:val="20"/>
          <w:highlight w:val="none"/>
          <w:lang w:val="en-US" w:eastAsia="zh-CN"/>
        </w:rPr>
      </w:pPr>
      <w:r>
        <w:rPr>
          <w:rFonts w:hint="eastAsia" w:eastAsia="等线"/>
          <w:sz w:val="20"/>
          <w:szCs w:val="20"/>
          <w:highlight w:val="none"/>
          <w:lang w:val="en-US" w:eastAsia="zh-CN"/>
        </w:rPr>
        <w:t>Later, companies do some calculate/evaluations for the above example band combination to show the MSD value will decrease if more</w:t>
      </w:r>
      <w:bookmarkStart w:id="44" w:name="OLE_LINK103"/>
      <w:r>
        <w:rPr>
          <w:rFonts w:hint="eastAsia" w:eastAsia="等线"/>
          <w:sz w:val="20"/>
          <w:szCs w:val="20"/>
          <w:highlight w:val="none"/>
          <w:lang w:val="en-US" w:eastAsia="zh-CN"/>
        </w:rPr>
        <w:t xml:space="preserve"> aggressive/</w:t>
      </w:r>
      <w:bookmarkStart w:id="45" w:name="OLE_LINK1"/>
      <w:r>
        <w:rPr>
          <w:rFonts w:hint="eastAsia" w:eastAsia="等线"/>
          <w:sz w:val="20"/>
          <w:szCs w:val="20"/>
          <w:highlight w:val="none"/>
          <w:lang w:val="en-US" w:eastAsia="zh-CN"/>
        </w:rPr>
        <w:t xml:space="preserve">practical </w:t>
      </w:r>
      <w:bookmarkEnd w:id="45"/>
      <w:r>
        <w:rPr>
          <w:rFonts w:hint="eastAsia" w:eastAsia="等线"/>
          <w:sz w:val="20"/>
          <w:szCs w:val="20"/>
          <w:highlight w:val="none"/>
          <w:lang w:val="en-US" w:eastAsia="zh-CN"/>
        </w:rPr>
        <w:t>values</w:t>
      </w:r>
      <w:bookmarkEnd w:id="44"/>
      <w:r>
        <w:rPr>
          <w:rFonts w:hint="eastAsia" w:eastAsia="等线"/>
          <w:sz w:val="20"/>
          <w:szCs w:val="20"/>
          <w:highlight w:val="none"/>
          <w:lang w:val="en-US" w:eastAsia="zh-CN"/>
        </w:rPr>
        <w:t xml:space="preserve"> such as higher</w:t>
      </w:r>
      <w:bookmarkStart w:id="46" w:name="OLE_LINK104"/>
      <w:r>
        <w:rPr>
          <w:rFonts w:hint="eastAsia" w:eastAsia="等线"/>
          <w:sz w:val="20"/>
          <w:szCs w:val="20"/>
          <w:highlight w:val="none"/>
          <w:lang w:val="en-US" w:eastAsia="zh-CN"/>
        </w:rPr>
        <w:t xml:space="preserve"> PCB isolation and antenna isolation</w:t>
      </w:r>
      <w:bookmarkEnd w:id="46"/>
      <w:r>
        <w:rPr>
          <w:rFonts w:hint="eastAsia" w:eastAsia="等线"/>
          <w:sz w:val="20"/>
          <w:szCs w:val="20"/>
          <w:highlight w:val="none"/>
          <w:lang w:val="en-US" w:eastAsia="zh-CN"/>
        </w:rPr>
        <w:t xml:space="preserve"> are adopted, which imply that the MSD improvement is feasible. The left issue is mainly for the signalling.</w:t>
      </w:r>
    </w:p>
    <w:p>
      <w:pPr>
        <w:pageBreakBefore w:val="0"/>
        <w:widowControl w:val="0"/>
        <w:kinsoku/>
        <w:wordWrap/>
        <w:topLinePunct w:val="0"/>
        <w:bidi w:val="0"/>
        <w:spacing w:before="120" w:after="120" w:line="240" w:lineRule="auto"/>
        <w:rPr>
          <w:rFonts w:hint="eastAsia" w:eastAsia="等线"/>
          <w:sz w:val="20"/>
          <w:szCs w:val="20"/>
          <w:highlight w:val="none"/>
          <w:lang w:val="en-US" w:eastAsia="zh-CN"/>
        </w:rPr>
      </w:pPr>
      <w:r>
        <w:rPr>
          <w:rFonts w:hint="eastAsia" w:eastAsia="等线"/>
          <w:sz w:val="20"/>
          <w:szCs w:val="20"/>
          <w:highlight w:val="none"/>
          <w:lang w:val="en-US" w:eastAsia="zh-CN"/>
        </w:rPr>
        <w:t xml:space="preserve">In general, the MSD analysis for NR CA and ENDC with the same constituent bands are the same. Although the ENDC MSD test point/table format are different with NR CA so far, it would be </w:t>
      </w:r>
      <w:bookmarkStart w:id="47" w:name="OLE_LINK91"/>
      <w:r>
        <w:rPr>
          <w:rFonts w:hint="eastAsia" w:eastAsia="等线"/>
          <w:sz w:val="20"/>
          <w:szCs w:val="20"/>
          <w:highlight w:val="none"/>
          <w:lang w:val="en-US" w:eastAsia="zh-CN"/>
        </w:rPr>
        <w:t>anticipated</w:t>
      </w:r>
      <w:bookmarkEnd w:id="47"/>
      <w:r>
        <w:rPr>
          <w:rFonts w:hint="eastAsia" w:eastAsia="等线"/>
          <w:sz w:val="20"/>
          <w:szCs w:val="20"/>
          <w:highlight w:val="none"/>
          <w:lang w:val="en-US" w:eastAsia="zh-CN"/>
        </w:rPr>
        <w:t xml:space="preserve"> that CR to ENDC MSD will be available in near future to keep the consistent with NR CA, where only few of MSD test point for the worst case would be defined. Therefore, we think the signalling analysis </w:t>
      </w:r>
      <w:bookmarkStart w:id="48" w:name="OLE_LINK92"/>
      <w:r>
        <w:rPr>
          <w:rFonts w:hint="eastAsia" w:eastAsia="等线"/>
          <w:sz w:val="20"/>
          <w:szCs w:val="20"/>
          <w:highlight w:val="none"/>
          <w:lang w:val="en-US" w:eastAsia="zh-CN"/>
        </w:rPr>
        <w:t xml:space="preserve">above can be apply to ENDC either. </w:t>
      </w:r>
      <w:bookmarkEnd w:id="48"/>
    </w:p>
    <w:p>
      <w:pPr>
        <w:pageBreakBefore w:val="0"/>
        <w:widowControl w:val="0"/>
        <w:kinsoku/>
        <w:wordWrap/>
        <w:topLinePunct w:val="0"/>
        <w:bidi w:val="0"/>
        <w:spacing w:before="120" w:after="120" w:line="240" w:lineRule="auto"/>
        <w:rPr>
          <w:rFonts w:hint="eastAsia" w:cs="Arial"/>
          <w:b/>
          <w:bCs/>
          <w:i/>
          <w:iCs/>
          <w:sz w:val="20"/>
          <w:lang w:val="en-US" w:eastAsia="zh-CN"/>
        </w:rPr>
      </w:pPr>
      <w:bookmarkStart w:id="49" w:name="OLE_LINK6"/>
      <w:r>
        <w:rPr>
          <w:rFonts w:hint="eastAsia" w:cs="Arial"/>
          <w:b/>
          <w:bCs/>
          <w:i/>
          <w:iCs/>
          <w:sz w:val="20"/>
          <w:lang w:val="en-US" w:eastAsia="zh-CN"/>
        </w:rPr>
        <w:t>Propose 5. The same</w:t>
      </w:r>
      <w:bookmarkStart w:id="50" w:name="OLE_LINK4"/>
      <w:r>
        <w:rPr>
          <w:rFonts w:hint="eastAsia" w:cs="Arial"/>
          <w:b/>
          <w:bCs/>
          <w:i/>
          <w:iCs/>
          <w:sz w:val="20"/>
          <w:lang w:val="en-US" w:eastAsia="zh-CN"/>
        </w:rPr>
        <w:t xml:space="preserve"> lower </w:t>
      </w:r>
      <w:r>
        <w:rPr>
          <w:rFonts w:hint="default" w:cs="Arial"/>
          <w:b/>
          <w:bCs/>
          <w:i/>
          <w:iCs/>
          <w:sz w:val="20"/>
          <w:lang w:val="en-US" w:eastAsia="ko-KR"/>
        </w:rPr>
        <w:t>MSD capability</w:t>
      </w:r>
      <w:bookmarkEnd w:id="50"/>
      <w:r>
        <w:rPr>
          <w:rFonts w:hint="eastAsia" w:cs="Arial"/>
          <w:b/>
          <w:bCs/>
          <w:i/>
          <w:iCs/>
          <w:sz w:val="20"/>
          <w:lang w:val="en-US" w:eastAsia="zh-CN"/>
        </w:rPr>
        <w:t xml:space="preserve"> approach are applied for both </w:t>
      </w:r>
      <w:bookmarkStart w:id="51" w:name="OLE_LINK5"/>
      <w:r>
        <w:rPr>
          <w:rFonts w:hint="eastAsia" w:cs="Arial"/>
          <w:b/>
          <w:bCs/>
          <w:i/>
          <w:iCs/>
          <w:sz w:val="20"/>
          <w:lang w:val="en-US" w:eastAsia="zh-CN"/>
        </w:rPr>
        <w:t>NR CA/DC and ENDC</w:t>
      </w:r>
      <w:bookmarkEnd w:id="51"/>
      <w:r>
        <w:rPr>
          <w:rFonts w:hint="eastAsia" w:cs="Arial"/>
          <w:b/>
          <w:bCs/>
          <w:i/>
          <w:iCs/>
          <w:sz w:val="20"/>
          <w:lang w:val="en-US" w:eastAsia="zh-CN"/>
        </w:rPr>
        <w:t>.</w:t>
      </w:r>
    </w:p>
    <w:bookmarkEnd w:id="49"/>
    <w:p>
      <w:pPr>
        <w:pageBreakBefore w:val="0"/>
        <w:widowControl w:val="0"/>
        <w:kinsoku/>
        <w:wordWrap/>
        <w:topLinePunct w:val="0"/>
        <w:bidi w:val="0"/>
        <w:spacing w:before="120" w:after="120" w:line="240" w:lineRule="auto"/>
        <w:rPr>
          <w:rFonts w:hint="default" w:cs="Arial"/>
          <w:b w:val="0"/>
          <w:i w:val="0"/>
          <w:iCs w:val="0"/>
          <w:sz w:val="20"/>
          <w:lang w:val="en-US" w:eastAsia="zh-CN"/>
        </w:rPr>
      </w:pPr>
      <w:r>
        <w:rPr>
          <w:rFonts w:hint="eastAsia" w:cs="Arial"/>
          <w:b w:val="0"/>
          <w:i w:val="0"/>
          <w:iCs w:val="0"/>
          <w:sz w:val="20"/>
          <w:lang w:val="en-US" w:eastAsia="zh-CN"/>
        </w:rPr>
        <w:t xml:space="preserve">As CA and ENDC are separate features, UE can report one of them or both. In current RAN2 spec, it seems separate signallings are defined for CA and ENDC, so separate lower </w:t>
      </w:r>
      <w:r>
        <w:rPr>
          <w:rFonts w:hint="default" w:cs="Arial"/>
          <w:b w:val="0"/>
          <w:i w:val="0"/>
          <w:iCs w:val="0"/>
          <w:sz w:val="20"/>
          <w:lang w:val="en-US" w:eastAsia="ko-KR"/>
        </w:rPr>
        <w:t xml:space="preserve">MSD </w:t>
      </w:r>
      <w:r>
        <w:rPr>
          <w:rFonts w:hint="eastAsia" w:cs="Arial"/>
          <w:b w:val="0"/>
          <w:i w:val="0"/>
          <w:iCs w:val="0"/>
          <w:sz w:val="20"/>
          <w:lang w:val="en-US" w:eastAsia="zh-CN"/>
        </w:rPr>
        <w:t>signalling should be applied for NR CA/DC and ENDC.</w:t>
      </w:r>
    </w:p>
    <w:p>
      <w:pPr>
        <w:pageBreakBefore w:val="0"/>
        <w:widowControl w:val="0"/>
        <w:kinsoku/>
        <w:wordWrap/>
        <w:topLinePunct w:val="0"/>
        <w:bidi w:val="0"/>
        <w:spacing w:before="120" w:after="120" w:line="240" w:lineRule="auto"/>
        <w:rPr>
          <w:rFonts w:hint="default" w:cs="Arial"/>
          <w:b/>
          <w:bCs/>
          <w:i/>
          <w:iCs/>
          <w:sz w:val="20"/>
          <w:lang w:val="en-US" w:eastAsia="zh-CN"/>
        </w:rPr>
      </w:pPr>
      <w:bookmarkStart w:id="52" w:name="OLE_LINK7"/>
      <w:bookmarkStart w:id="53" w:name="OLE_LINK46"/>
      <w:r>
        <w:rPr>
          <w:rFonts w:hint="eastAsia" w:cs="Arial"/>
          <w:b/>
          <w:bCs/>
          <w:i/>
          <w:iCs/>
          <w:sz w:val="20"/>
          <w:lang w:val="en-US" w:eastAsia="zh-CN"/>
        </w:rPr>
        <w:t xml:space="preserve">Propose 6. Separate lower </w:t>
      </w:r>
      <w:r>
        <w:rPr>
          <w:rFonts w:hint="default" w:cs="Arial"/>
          <w:b/>
          <w:bCs/>
          <w:i/>
          <w:iCs/>
          <w:sz w:val="20"/>
          <w:lang w:val="en-US" w:eastAsia="ko-KR"/>
        </w:rPr>
        <w:t xml:space="preserve">MSD </w:t>
      </w:r>
      <w:r>
        <w:rPr>
          <w:rFonts w:hint="eastAsia" w:cs="Arial"/>
          <w:b/>
          <w:bCs/>
          <w:i/>
          <w:iCs/>
          <w:sz w:val="20"/>
          <w:lang w:val="en-US" w:eastAsia="zh-CN"/>
        </w:rPr>
        <w:t>signalling should be applied for inter-band NR CA/DC and ENDC.</w:t>
      </w:r>
      <w:bookmarkEnd w:id="52"/>
    </w:p>
    <w:bookmarkEnd w:id="5"/>
    <w:bookmarkEnd w:id="6"/>
    <w:bookmarkEnd w:id="53"/>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we give some discussion on the lower MSD for inter-band NR CA/ENDC based on the latest agreements. The conclusions are:</w:t>
      </w:r>
    </w:p>
    <w:p>
      <w:pPr>
        <w:spacing w:before="120" w:beforeLines="-2147483648" w:after="0" w:afterLines="-2147483648" w:line="240" w:lineRule="auto"/>
        <w:jc w:val="both"/>
        <w:rPr>
          <w:rFonts w:hint="eastAsia" w:ascii="Times New Roman" w:hAnsi="Times New Roman" w:eastAsia="等线" w:cs="Times New Roman"/>
          <w:b/>
          <w:bCs/>
          <w:i/>
          <w:iCs/>
          <w:kern w:val="2"/>
          <w:sz w:val="20"/>
          <w:highlight w:val="none"/>
          <w:lang w:val="en-US" w:eastAsia="zh-CN"/>
        </w:rPr>
      </w:pPr>
      <w:r>
        <w:rPr>
          <w:rFonts w:hint="eastAsia" w:eastAsia="等线" w:cs="Times New Roman"/>
          <w:b/>
          <w:bCs/>
          <w:i/>
          <w:iCs/>
          <w:sz w:val="20"/>
          <w:highlight w:val="none"/>
          <w:lang w:val="en-US" w:eastAsia="zh-CN" w:bidi="ar-SA"/>
        </w:rPr>
        <w:t xml:space="preserve">Observation 1. Measurements are anyway useful to </w:t>
      </w:r>
      <w:r>
        <w:rPr>
          <w:rFonts w:hint="eastAsia" w:ascii="Times New Roman" w:hAnsi="Times New Roman" w:eastAsia="等线" w:cs="Times New Roman"/>
          <w:b/>
          <w:bCs/>
          <w:i/>
          <w:iCs/>
          <w:kern w:val="2"/>
          <w:sz w:val="20"/>
          <w:highlight w:val="none"/>
          <w:lang w:val="en-US" w:eastAsia="zh-CN"/>
        </w:rPr>
        <w:t xml:space="preserve">avoid a situation that UE can report lower MSD capability without any actual improvement.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cs="Times New Roman"/>
          <w:b/>
          <w:bCs/>
          <w:i/>
          <w:iCs/>
          <w:kern w:val="2"/>
          <w:sz w:val="20"/>
          <w:szCs w:val="20"/>
          <w:highlight w:val="none"/>
          <w:lang w:val="en-US" w:eastAsia="zh-CN" w:bidi="ar-SA"/>
        </w:rPr>
      </w:pPr>
      <w:r>
        <w:rPr>
          <w:rFonts w:hint="eastAsia"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1</w:t>
      </w:r>
      <w:r>
        <w:rPr>
          <w:rFonts w:hint="eastAsia" w:eastAsia="宋体" w:cs="Times New Roman"/>
          <w:b/>
          <w:bCs/>
          <w:i/>
          <w:iCs/>
          <w:kern w:val="2"/>
          <w:sz w:val="20"/>
          <w:szCs w:val="20"/>
          <w:highlight w:val="none"/>
          <w:lang w:val="en-US" w:eastAsia="zh-CN" w:bidi="ar-SA"/>
        </w:rPr>
        <w:t>. To discuss how much MSD is improved can be considered as valuable in practical</w:t>
      </w:r>
    </w:p>
    <w:p>
      <w:pPr>
        <w:widowControl w:val="0"/>
        <w:numPr>
          <w:ilvl w:val="-1"/>
          <w:numId w:val="0"/>
        </w:numPr>
        <w:overflowPunct/>
        <w:autoSpaceDE/>
        <w:autoSpaceDN/>
        <w:adjustRightInd/>
        <w:snapToGrid/>
        <w:spacing w:before="120" w:beforeLines="0" w:after="120" w:afterLines="0" w:line="240" w:lineRule="auto"/>
        <w:ind w:left="0" w:firstLine="0" w:firstLineChars="0"/>
        <w:jc w:val="left"/>
        <w:textAlignment w:val="auto"/>
        <w:rPr>
          <w:rFonts w:hint="default" w:eastAsia="宋体" w:cs="Times New Roman"/>
          <w:b/>
          <w:bCs/>
          <w:i/>
          <w:iCs/>
          <w:kern w:val="2"/>
          <w:sz w:val="20"/>
          <w:szCs w:val="20"/>
          <w:highlight w:val="none"/>
          <w:lang w:val="en-US" w:eastAsia="zh-CN" w:bidi="ar-SA"/>
        </w:rPr>
      </w:pPr>
      <w:r>
        <w:rPr>
          <w:rFonts w:hint="eastAsia"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2</w:t>
      </w:r>
      <w:r>
        <w:rPr>
          <w:rFonts w:hint="eastAsia" w:eastAsia="宋体" w:cs="Times New Roman"/>
          <w:b/>
          <w:bCs/>
          <w:i/>
          <w:iCs/>
          <w:kern w:val="2"/>
          <w:sz w:val="20"/>
          <w:szCs w:val="20"/>
          <w:highlight w:val="none"/>
          <w:lang w:val="en-US" w:eastAsia="zh-CN" w:bidi="ar-SA"/>
        </w:rPr>
        <w:t xml:space="preserve">. To </w:t>
      </w:r>
      <w:r>
        <w:rPr>
          <w:rFonts w:hint="eastAsia" w:cs="Times New Roman"/>
          <w:b/>
          <w:bCs/>
          <w:i/>
          <w:iCs/>
          <w:kern w:val="2"/>
          <w:sz w:val="20"/>
          <w:szCs w:val="20"/>
          <w:highlight w:val="none"/>
          <w:lang w:val="en-US" w:eastAsia="zh-CN" w:bidi="ar-SA"/>
        </w:rPr>
        <w:t xml:space="preserve">include </w:t>
      </w:r>
      <w:r>
        <w:rPr>
          <w:rFonts w:hint="eastAsia" w:ascii="Times New Roman" w:hAnsi="Times New Roman" w:eastAsia="宋体" w:cs="Times New Roman"/>
          <w:b/>
          <w:bCs/>
          <w:i/>
          <w:iCs/>
          <w:sz w:val="20"/>
          <w:highlight w:val="none"/>
          <w:lang w:val="en-US" w:eastAsia="zh-CN" w:bidi="ar-SA"/>
        </w:rPr>
        <w:t>Power class of the aggressor UL</w:t>
      </w:r>
      <w:r>
        <w:rPr>
          <w:rFonts w:hint="eastAsia" w:cs="Times New Roman"/>
          <w:b/>
          <w:bCs/>
          <w:i/>
          <w:iCs/>
          <w:sz w:val="20"/>
          <w:highlight w:val="none"/>
          <w:lang w:val="en-US" w:eastAsia="zh-CN" w:bidi="ar-SA"/>
        </w:rPr>
        <w:t xml:space="preserve"> and </w:t>
      </w:r>
      <w:r>
        <w:rPr>
          <w:rFonts w:hint="eastAsia" w:ascii="Times New Roman" w:hAnsi="Times New Roman" w:eastAsia="宋体" w:cs="Times New Roman"/>
          <w:b/>
          <w:bCs/>
          <w:i/>
          <w:iCs/>
          <w:sz w:val="20"/>
          <w:highlight w:val="none"/>
          <w:lang w:val="en-US" w:eastAsia="zh-CN" w:bidi="ar-SA"/>
        </w:rPr>
        <w:t>victim DL bandwidth</w:t>
      </w:r>
      <w:r>
        <w:rPr>
          <w:rFonts w:hint="eastAsia" w:cs="Times New Roman"/>
          <w:b/>
          <w:bCs/>
          <w:i/>
          <w:iCs/>
          <w:sz w:val="20"/>
          <w:highlight w:val="none"/>
          <w:lang w:val="en-US" w:eastAsia="zh-CN" w:bidi="ar-SA"/>
        </w:rPr>
        <w:t xml:space="preserve"> additionally </w:t>
      </w:r>
      <w:r>
        <w:rPr>
          <w:rFonts w:hint="eastAsia" w:eastAsia="宋体" w:cs="Times New Roman"/>
          <w:b/>
          <w:bCs/>
          <w:i/>
          <w:iCs/>
          <w:sz w:val="20"/>
          <w:highlight w:val="none"/>
          <w:lang w:val="en-US" w:eastAsia="zh-CN" w:bidi="ar-SA"/>
        </w:rPr>
        <w:t>in the lower MSD capability reporting</w:t>
      </w:r>
      <w:r>
        <w:rPr>
          <w:rFonts w:hint="eastAsia" w:cs="Times New Roman"/>
          <w:b/>
          <w:bCs/>
          <w:i/>
          <w:iCs/>
          <w:sz w:val="20"/>
          <w:highlight w:val="none"/>
          <w:lang w:val="en-US" w:eastAsia="zh-CN" w:bidi="ar-SA"/>
        </w:rPr>
        <w:t xml:space="preserve">. FFS on </w:t>
      </w:r>
      <w:r>
        <w:rPr>
          <w:rFonts w:hint="eastAsia" w:ascii="Times New Roman" w:hAnsi="Times New Roman" w:eastAsia="宋体" w:cs="Times New Roman"/>
          <w:b/>
          <w:bCs/>
          <w:i/>
          <w:iCs/>
          <w:sz w:val="20"/>
          <w:highlight w:val="none"/>
          <w:lang w:val="en-US" w:eastAsia="zh-CN" w:bidi="ar-SA"/>
        </w:rPr>
        <w:t>Aggressor UL</w:t>
      </w:r>
      <w:r>
        <w:rPr>
          <w:rFonts w:hint="eastAsia" w:eastAsia="宋体" w:cs="Times New Roman"/>
          <w:b/>
          <w:bCs/>
          <w:i/>
          <w:iCs/>
          <w:sz w:val="20"/>
          <w:highlight w:val="none"/>
          <w:lang w:val="en-US" w:eastAsia="zh-CN" w:bidi="ar-SA"/>
        </w:rPr>
        <w:t xml:space="preserve"> </w:t>
      </w:r>
      <w:r>
        <w:rPr>
          <w:rFonts w:hint="eastAsia" w:ascii="Times New Roman" w:hAnsi="Times New Roman" w:eastAsia="宋体" w:cs="Times New Roman"/>
          <w:b/>
          <w:bCs/>
          <w:i/>
          <w:iCs/>
          <w:sz w:val="20"/>
          <w:highlight w:val="none"/>
          <w:lang w:val="en-US" w:eastAsia="zh-CN" w:bidi="ar-SA"/>
        </w:rPr>
        <w:t>bandwidth</w:t>
      </w:r>
      <w:r>
        <w:rPr>
          <w:rFonts w:hint="eastAsia" w:cs="Times New Roman"/>
          <w:b/>
          <w:bCs/>
          <w:i/>
          <w:iCs/>
          <w:sz w:val="20"/>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cs="Times New Roman"/>
          <w:b/>
          <w:bCs/>
          <w:i/>
          <w:iCs/>
          <w:sz w:val="20"/>
          <w:szCs w:val="20"/>
          <w:lang w:val="en-US" w:eastAsia="zh-CN" w:bidi="ar-SA"/>
        </w:rPr>
      </w:pPr>
      <w:r>
        <w:rPr>
          <w:rFonts w:hint="eastAsia" w:cs="Times New Roman"/>
          <w:b/>
          <w:bCs/>
          <w:i/>
          <w:iCs/>
          <w:sz w:val="20"/>
          <w:szCs w:val="20"/>
          <w:lang w:val="en-US" w:eastAsia="zh-CN" w:bidi="ar-SA"/>
        </w:rPr>
        <w:t>Proposal 3. I</w:t>
      </w:r>
      <w:r>
        <w:rPr>
          <w:rFonts w:hint="eastAsia" w:ascii="Times New Roman" w:hAnsi="Times New Roman" w:eastAsia="宋体" w:cs="Times New Roman"/>
          <w:b/>
          <w:bCs/>
          <w:i/>
          <w:iCs/>
          <w:sz w:val="20"/>
          <w:szCs w:val="20"/>
          <w:lang w:val="en-US" w:eastAsia="zh-CN" w:bidi="ar-SA"/>
        </w:rPr>
        <w:t>dentical thresholds can be applicable to all the MSD types and aggressor power class</w:t>
      </w:r>
      <w:r>
        <w:rPr>
          <w:rFonts w:hint="eastAsia" w:cs="Times New Roman"/>
          <w:b/>
          <w:bCs/>
          <w:i/>
          <w:iCs/>
          <w:sz w:val="20"/>
          <w:szCs w:val="20"/>
          <w:lang w:val="en-US" w:eastAsia="zh-CN" w:bidi="ar-SA"/>
        </w:rPr>
        <w:t>, and UE can report different MSD values within the range of the i</w:t>
      </w:r>
      <w:r>
        <w:rPr>
          <w:rFonts w:hint="eastAsia" w:ascii="Times New Roman" w:hAnsi="Times New Roman" w:eastAsia="宋体" w:cs="Times New Roman"/>
          <w:b/>
          <w:bCs/>
          <w:i/>
          <w:iCs/>
          <w:sz w:val="20"/>
          <w:szCs w:val="20"/>
          <w:lang w:val="en-US" w:eastAsia="zh-CN" w:bidi="ar-SA"/>
        </w:rPr>
        <w:t xml:space="preserve">dentical </w:t>
      </w:r>
      <w:r>
        <w:rPr>
          <w:rFonts w:hint="eastAsia" w:cs="Times New Roman"/>
          <w:b/>
          <w:bCs/>
          <w:i/>
          <w:iCs/>
          <w:sz w:val="20"/>
          <w:szCs w:val="20"/>
          <w:lang w:val="en-US" w:eastAsia="zh-CN" w:bidi="ar-SA"/>
        </w:rPr>
        <w:t>multiple thresholds, relies on MSD types and/or power class.</w:t>
      </w:r>
    </w:p>
    <w:p>
      <w:pPr>
        <w:widowControl w:val="0"/>
        <w:bidi w:val="0"/>
        <w:spacing w:before="120" w:beforeLines="0" w:after="120" w:afterLines="0" w:line="240" w:lineRule="auto"/>
        <w:jc w:val="left"/>
        <w:rPr>
          <w:rFonts w:hint="eastAsia" w:cs="Times New Roman"/>
          <w:b/>
          <w:bCs/>
          <w:i/>
          <w:iCs/>
          <w:sz w:val="20"/>
          <w:szCs w:val="20"/>
          <w:lang w:val="en-US" w:eastAsia="zh-CN" w:bidi="ar-SA"/>
        </w:rPr>
      </w:pPr>
      <w:r>
        <w:rPr>
          <w:rFonts w:hint="eastAsia" w:cs="Times New Roman"/>
          <w:b/>
          <w:bCs/>
          <w:i/>
          <w:iCs/>
          <w:sz w:val="20"/>
          <w:szCs w:val="20"/>
          <w:lang w:val="en-US" w:eastAsia="zh-CN" w:bidi="ar-SA"/>
        </w:rPr>
        <w:t xml:space="preserve">Proposal 4. Small granularity and more higher upper limit thresholds should be considered for multiple </w:t>
      </w:r>
      <w:r>
        <w:rPr>
          <w:rFonts w:hint="eastAsia" w:ascii="Times New Roman" w:hAnsi="Times New Roman" w:eastAsia="宋体" w:cs="Times New Roman"/>
          <w:b/>
          <w:bCs/>
          <w:i/>
          <w:iCs/>
          <w:sz w:val="20"/>
          <w:szCs w:val="20"/>
          <w:lang w:val="en-US" w:eastAsia="zh-CN" w:bidi="ar-SA"/>
        </w:rPr>
        <w:t>thresholds</w:t>
      </w:r>
      <w:r>
        <w:rPr>
          <w:rFonts w:hint="eastAsia" w:cs="Times New Roman"/>
          <w:b/>
          <w:bCs/>
          <w:i/>
          <w:iCs/>
          <w:sz w:val="20"/>
          <w:szCs w:val="20"/>
          <w:lang w:val="en-US" w:eastAsia="zh-CN" w:bidi="ar-SA"/>
        </w:rPr>
        <w:t>.</w:t>
      </w:r>
    </w:p>
    <w:p>
      <w:pPr>
        <w:keepNext w:val="0"/>
        <w:keepLines w:val="0"/>
        <w:pageBreakBefore w:val="0"/>
        <w:kinsoku/>
        <w:wordWrap/>
        <w:overflowPunct/>
        <w:topLinePunct w:val="0"/>
        <w:autoSpaceDE/>
        <w:autoSpaceDN/>
        <w:bidi w:val="0"/>
        <w:adjustRightInd/>
        <w:snapToGrid/>
        <w:spacing w:beforeLines="0" w:after="180" w:afterLines="0" w:line="240" w:lineRule="auto"/>
        <w:textAlignment w:val="auto"/>
        <w:rPr>
          <w:rFonts w:hint="default" w:eastAsia="等线"/>
          <w:b/>
          <w:bCs/>
          <w:i/>
          <w:iCs/>
          <w:sz w:val="20"/>
          <w:szCs w:val="20"/>
          <w:highlight w:val="none"/>
          <w:lang w:val="en-US" w:eastAsia="zh-CN"/>
        </w:rPr>
      </w:pPr>
      <w:r>
        <w:rPr>
          <w:rFonts w:hint="eastAsia" w:eastAsia="等线"/>
          <w:b/>
          <w:bCs/>
          <w:i/>
          <w:iCs/>
          <w:sz w:val="20"/>
          <w:szCs w:val="20"/>
          <w:highlight w:val="none"/>
          <w:lang w:val="en-US" w:eastAsia="zh-CN"/>
        </w:rPr>
        <w:t xml:space="preserve">Observation 2. </w:t>
      </w:r>
      <w:r>
        <w:rPr>
          <w:rFonts w:hint="eastAsia"/>
          <w:b/>
          <w:bCs/>
          <w:i/>
          <w:iCs/>
          <w:sz w:val="20"/>
          <w:lang w:val="en-US" w:eastAsia="zh-CN"/>
        </w:rPr>
        <w:t>I</w:t>
      </w:r>
      <w:r>
        <w:rPr>
          <w:rFonts w:hint="eastAsia" w:eastAsia="等线"/>
          <w:b/>
          <w:bCs/>
          <w:i/>
          <w:iCs/>
          <w:sz w:val="20"/>
          <w:highlight w:val="none"/>
          <w:lang w:val="en-US" w:eastAsia="zh-CN"/>
        </w:rPr>
        <w:t>nter-band CA/EN-DC/DC combinations were involved, but only inter-band CA band combination examples are proposed.</w:t>
      </w:r>
    </w:p>
    <w:p>
      <w:pPr>
        <w:pageBreakBefore w:val="0"/>
        <w:widowControl w:val="0"/>
        <w:kinsoku/>
        <w:wordWrap/>
        <w:topLinePunct w:val="0"/>
        <w:bidi w:val="0"/>
        <w:spacing w:before="120" w:after="120" w:line="240" w:lineRule="auto"/>
        <w:rPr>
          <w:rFonts w:hint="eastAsia" w:cs="Arial"/>
          <w:b/>
          <w:bCs/>
          <w:i/>
          <w:iCs/>
          <w:sz w:val="20"/>
          <w:lang w:val="en-US" w:eastAsia="zh-CN"/>
        </w:rPr>
      </w:pPr>
      <w:r>
        <w:rPr>
          <w:rFonts w:hint="eastAsia" w:cs="Arial"/>
          <w:b/>
          <w:bCs/>
          <w:i/>
          <w:iCs/>
          <w:sz w:val="20"/>
          <w:lang w:val="en-US" w:eastAsia="zh-CN"/>
        </w:rPr>
        <w:t xml:space="preserve">Propose 5. The same lower </w:t>
      </w:r>
      <w:r>
        <w:rPr>
          <w:rFonts w:hint="default" w:cs="Arial"/>
          <w:b/>
          <w:bCs/>
          <w:i/>
          <w:iCs/>
          <w:sz w:val="20"/>
          <w:lang w:val="en-US" w:eastAsia="ko-KR"/>
        </w:rPr>
        <w:t>MSD capability</w:t>
      </w:r>
      <w:r>
        <w:rPr>
          <w:rFonts w:hint="eastAsia" w:cs="Arial"/>
          <w:b/>
          <w:bCs/>
          <w:i/>
          <w:iCs/>
          <w:sz w:val="20"/>
          <w:lang w:val="en-US" w:eastAsia="zh-CN"/>
        </w:rPr>
        <w:t xml:space="preserve"> approach are applied for both NR CA/DC and ENDC.</w:t>
      </w:r>
    </w:p>
    <w:p>
      <w:pPr>
        <w:pageBreakBefore w:val="0"/>
        <w:widowControl w:val="0"/>
        <w:kinsoku/>
        <w:wordWrap/>
        <w:topLinePunct w:val="0"/>
        <w:bidi w:val="0"/>
        <w:spacing w:before="120" w:after="120" w:line="240" w:lineRule="auto"/>
        <w:rPr>
          <w:rFonts w:hint="eastAsia"/>
          <w:bCs/>
          <w:kern w:val="0"/>
          <w:sz w:val="20"/>
          <w:szCs w:val="20"/>
          <w:highlight w:val="none"/>
          <w:lang w:val="en-US" w:eastAsia="zh-CN"/>
        </w:rPr>
      </w:pPr>
      <w:r>
        <w:rPr>
          <w:rFonts w:hint="eastAsia" w:cs="Arial"/>
          <w:b/>
          <w:bCs/>
          <w:i/>
          <w:iCs/>
          <w:sz w:val="20"/>
          <w:lang w:val="en-US" w:eastAsia="zh-CN"/>
        </w:rPr>
        <w:t xml:space="preserve">Propose 6. </w:t>
      </w:r>
      <w:bookmarkStart w:id="54" w:name="OLE_LINK47"/>
      <w:r>
        <w:rPr>
          <w:rFonts w:hint="eastAsia" w:cs="Arial"/>
          <w:b/>
          <w:bCs/>
          <w:i/>
          <w:iCs/>
          <w:sz w:val="20"/>
          <w:lang w:val="en-US" w:eastAsia="zh-CN"/>
        </w:rPr>
        <w:t xml:space="preserve">Separate </w:t>
      </w:r>
      <w:bookmarkEnd w:id="54"/>
      <w:r>
        <w:rPr>
          <w:rFonts w:hint="eastAsia" w:cs="Arial"/>
          <w:b/>
          <w:bCs/>
          <w:i/>
          <w:iCs/>
          <w:sz w:val="20"/>
          <w:lang w:val="en-US" w:eastAsia="zh-CN"/>
        </w:rPr>
        <w:t xml:space="preserve">lower </w:t>
      </w:r>
      <w:r>
        <w:rPr>
          <w:rFonts w:hint="default" w:cs="Arial"/>
          <w:b/>
          <w:bCs/>
          <w:i/>
          <w:iCs/>
          <w:sz w:val="20"/>
          <w:lang w:val="en-US" w:eastAsia="ko-KR"/>
        </w:rPr>
        <w:t xml:space="preserve">MSD </w:t>
      </w:r>
      <w:r>
        <w:rPr>
          <w:rFonts w:hint="eastAsia" w:cs="Arial"/>
          <w:b/>
          <w:bCs/>
          <w:i/>
          <w:iCs/>
          <w:sz w:val="20"/>
          <w:lang w:val="en-US" w:eastAsia="zh-CN"/>
        </w:rPr>
        <w:t>signalling should be applied for inter-band NR CA/DC and ENDC.</w:t>
      </w:r>
    </w:p>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rPr>
          <w:rFonts w:hint="eastAsia" w:eastAsia="宋体" w:cstheme="minorHAnsi"/>
          <w:kern w:val="0"/>
          <w:sz w:val="20"/>
          <w:szCs w:val="20"/>
          <w:lang w:val="en-US" w:eastAsia="en-US"/>
        </w:rPr>
      </w:pPr>
      <w:r>
        <w:rPr>
          <w:rFonts w:hint="eastAsia" w:eastAsia="宋体" w:cstheme="minorHAnsi"/>
          <w:kern w:val="0"/>
          <w:sz w:val="20"/>
          <w:szCs w:val="20"/>
          <w:lang w:val="en-US" w:eastAsia="en-US"/>
        </w:rPr>
        <w:t>[</w:t>
      </w:r>
      <w:r>
        <w:rPr>
          <w:rFonts w:hint="eastAsia" w:eastAsia="宋体" w:cstheme="minorHAnsi"/>
          <w:kern w:val="0"/>
          <w:sz w:val="20"/>
          <w:szCs w:val="20"/>
          <w:lang w:val="en-US" w:eastAsia="zh-CN"/>
        </w:rPr>
        <w:t>1</w:t>
      </w:r>
      <w:r>
        <w:rPr>
          <w:rFonts w:hint="eastAsia" w:eastAsia="宋体" w:cstheme="minorHAnsi"/>
          <w:kern w:val="0"/>
          <w:sz w:val="20"/>
          <w:szCs w:val="20"/>
          <w:lang w:val="en-US" w:eastAsia="en-US"/>
        </w:rPr>
        <w:t>] R4-2214452, WF on study for lower MSD, Huawei, HiSilicon</w:t>
      </w:r>
    </w:p>
    <w:p>
      <w:pPr>
        <w:rPr>
          <w:rFonts w:hint="eastAsia" w:eastAsia="宋体" w:cstheme="minorHAnsi"/>
          <w:kern w:val="0"/>
          <w:sz w:val="20"/>
          <w:szCs w:val="20"/>
          <w:lang w:val="en-US" w:eastAsia="en-US"/>
        </w:rPr>
      </w:pPr>
      <w:r>
        <w:rPr>
          <w:rFonts w:hint="eastAsia" w:eastAsia="宋体" w:cstheme="minorHAnsi"/>
          <w:kern w:val="0"/>
          <w:sz w:val="20"/>
          <w:szCs w:val="20"/>
          <w:lang w:val="en-US" w:eastAsia="zh-CN"/>
        </w:rPr>
        <w:t xml:space="preserve">[2] R4-2217723, WF on study for lower MSD, Huawei, </w:t>
      </w:r>
      <w:r>
        <w:rPr>
          <w:rFonts w:hint="eastAsia" w:eastAsia="宋体" w:cstheme="minorHAnsi"/>
          <w:kern w:val="0"/>
          <w:sz w:val="20"/>
          <w:szCs w:val="20"/>
          <w:lang w:val="en-US" w:eastAsia="en-US"/>
        </w:rPr>
        <w:t>HiSilicon</w:t>
      </w:r>
    </w:p>
    <w:p>
      <w:pPr>
        <w:rPr>
          <w:rFonts w:hint="eastAsia" w:eastAsia="宋体" w:cstheme="minorHAnsi"/>
          <w:kern w:val="0"/>
          <w:sz w:val="20"/>
          <w:szCs w:val="20"/>
          <w:lang w:val="en-US" w:eastAsia="en-US"/>
        </w:rPr>
      </w:pPr>
      <w:r>
        <w:rPr>
          <w:rFonts w:hint="eastAsia" w:eastAsia="宋体" w:cstheme="minorHAnsi"/>
          <w:kern w:val="0"/>
          <w:sz w:val="20"/>
          <w:szCs w:val="20"/>
          <w:lang w:val="en-US" w:eastAsia="zh-CN"/>
        </w:rPr>
        <w:t>[3] R4-2220824, WF on study for lower MSD</w:t>
      </w:r>
      <w:bookmarkStart w:id="55" w:name="OLE_LINK10"/>
      <w:r>
        <w:rPr>
          <w:rFonts w:hint="eastAsia" w:eastAsia="宋体" w:cstheme="minorHAnsi"/>
          <w:kern w:val="0"/>
          <w:sz w:val="20"/>
          <w:szCs w:val="20"/>
          <w:lang w:val="en-US" w:eastAsia="zh-CN"/>
        </w:rPr>
        <w:t xml:space="preserve">, Huawei, </w:t>
      </w:r>
      <w:r>
        <w:rPr>
          <w:rFonts w:hint="eastAsia" w:eastAsia="宋体" w:cstheme="minorHAnsi"/>
          <w:kern w:val="0"/>
          <w:sz w:val="20"/>
          <w:szCs w:val="20"/>
          <w:lang w:val="en-US" w:eastAsia="en-US"/>
        </w:rPr>
        <w:t>HiSilicon</w:t>
      </w:r>
    </w:p>
    <w:bookmarkEnd w:id="55"/>
    <w:p>
      <w:pPr>
        <w:rPr>
          <w:rFonts w:hint="default" w:eastAsia="宋体" w:cstheme="minorHAnsi"/>
          <w:kern w:val="0"/>
          <w:sz w:val="20"/>
          <w:szCs w:val="20"/>
          <w:lang w:val="en-US" w:eastAsia="zh-CN"/>
        </w:rPr>
      </w:pPr>
      <w:r>
        <w:rPr>
          <w:rFonts w:hint="eastAsia" w:eastAsia="宋体" w:cstheme="minorHAnsi"/>
          <w:kern w:val="0"/>
          <w:sz w:val="20"/>
          <w:szCs w:val="20"/>
          <w:lang w:val="en-US" w:eastAsia="zh-CN"/>
        </w:rPr>
        <w:t xml:space="preserve">[4] R4-2303695, WF on study for lower MSD, Huawei, </w:t>
      </w:r>
      <w:r>
        <w:rPr>
          <w:rFonts w:hint="eastAsia" w:eastAsia="宋体" w:cstheme="minorHAnsi"/>
          <w:kern w:val="0"/>
          <w:sz w:val="20"/>
          <w:szCs w:val="20"/>
          <w:lang w:val="en-US" w:eastAsia="en-US"/>
        </w:rPr>
        <w:t>HiSilicon</w:t>
      </w:r>
    </w:p>
    <w:p>
      <w:pPr>
        <w:rPr>
          <w:rFonts w:hint="eastAsia" w:eastAsia="宋体" w:cstheme="minorHAnsi"/>
          <w:kern w:val="0"/>
          <w:sz w:val="20"/>
          <w:szCs w:val="20"/>
          <w:lang w:val="en-US" w:eastAsia="zh-CN"/>
        </w:rPr>
      </w:pPr>
      <w:r>
        <w:rPr>
          <w:rFonts w:hint="eastAsia" w:eastAsia="宋体" w:cstheme="minorHAnsi"/>
          <w:kern w:val="0"/>
          <w:sz w:val="20"/>
          <w:szCs w:val="20"/>
          <w:lang w:val="en-US" w:eastAsia="zh-CN"/>
        </w:rPr>
        <w:t>[</w:t>
      </w:r>
      <w:r>
        <w:rPr>
          <w:rFonts w:hint="eastAsia" w:cstheme="minorHAnsi"/>
          <w:kern w:val="0"/>
          <w:sz w:val="20"/>
          <w:szCs w:val="20"/>
          <w:lang w:val="en-US" w:eastAsia="zh-CN"/>
        </w:rPr>
        <w:t>5</w:t>
      </w:r>
      <w:r>
        <w:rPr>
          <w:rFonts w:hint="eastAsia" w:eastAsia="宋体" w:cstheme="minorHAnsi"/>
          <w:kern w:val="0"/>
          <w:sz w:val="20"/>
          <w:szCs w:val="20"/>
          <w:lang w:val="en-US" w:eastAsia="zh-CN"/>
        </w:rPr>
        <w:t xml:space="preserve">] </w:t>
      </w:r>
      <w:r>
        <w:rPr>
          <w:rFonts w:hint="default" w:eastAsia="宋体" w:cstheme="minorHAnsi"/>
          <w:kern w:val="0"/>
          <w:sz w:val="20"/>
          <w:szCs w:val="20"/>
          <w:lang w:val="en-US" w:eastAsia="zh-CN"/>
        </w:rPr>
        <w:t>R4-</w:t>
      </w:r>
      <w:bookmarkStart w:id="56" w:name="OLE_LINK16"/>
      <w:r>
        <w:rPr>
          <w:rFonts w:hint="default" w:eastAsia="宋体" w:cstheme="minorHAnsi"/>
          <w:kern w:val="0"/>
          <w:sz w:val="20"/>
          <w:szCs w:val="20"/>
          <w:lang w:val="en-US" w:eastAsia="zh-CN"/>
        </w:rPr>
        <w:t>2215889</w:t>
      </w:r>
      <w:bookmarkEnd w:id="56"/>
      <w:r>
        <w:rPr>
          <w:rFonts w:hint="eastAsia" w:eastAsia="宋体" w:cstheme="minorHAnsi"/>
          <w:kern w:val="0"/>
          <w:sz w:val="20"/>
          <w:szCs w:val="20"/>
          <w:lang w:val="en-US" w:eastAsia="zh-CN"/>
        </w:rPr>
        <w:t xml:space="preserve">, </w:t>
      </w:r>
      <w:r>
        <w:rPr>
          <w:rFonts w:hint="default" w:eastAsia="宋体" w:cstheme="minorHAnsi"/>
          <w:kern w:val="0"/>
          <w:sz w:val="20"/>
          <w:szCs w:val="20"/>
          <w:lang w:val="en-US" w:eastAsia="zh-CN"/>
        </w:rPr>
        <w:t>Discussion on lower MSD for inter-band CAENDC</w:t>
      </w:r>
      <w:bookmarkStart w:id="57" w:name="OLE_LINK11"/>
      <w:r>
        <w:rPr>
          <w:rFonts w:hint="eastAsia" w:eastAsia="宋体" w:cstheme="minorHAnsi"/>
          <w:kern w:val="0"/>
          <w:sz w:val="20"/>
          <w:szCs w:val="20"/>
          <w:lang w:val="en-US" w:eastAsia="zh-CN"/>
        </w:rPr>
        <w:t>, ZTE</w:t>
      </w:r>
      <w:bookmarkEnd w:id="57"/>
    </w:p>
    <w:p>
      <w:pPr>
        <w:rPr>
          <w:rFonts w:hint="eastAsia" w:eastAsia="宋体" w:cstheme="minorHAnsi"/>
          <w:kern w:val="0"/>
          <w:sz w:val="20"/>
          <w:szCs w:val="20"/>
          <w:lang w:val="en-US" w:eastAsia="zh-CN"/>
        </w:rPr>
      </w:pPr>
      <w:r>
        <w:rPr>
          <w:rFonts w:hint="eastAsia" w:cstheme="minorHAnsi"/>
          <w:kern w:val="0"/>
          <w:sz w:val="20"/>
          <w:szCs w:val="20"/>
          <w:lang w:val="en-US" w:eastAsia="zh-CN"/>
        </w:rPr>
        <w:t xml:space="preserve">[6] </w:t>
      </w:r>
      <w:r>
        <w:rPr>
          <w:rFonts w:hint="eastAsia" w:eastAsia="宋体" w:cstheme="minorHAnsi"/>
          <w:kern w:val="0"/>
          <w:sz w:val="20"/>
          <w:szCs w:val="20"/>
          <w:lang w:val="en-US" w:eastAsia="zh-CN"/>
        </w:rPr>
        <w:t>R4-2301267</w:t>
      </w:r>
      <w:r>
        <w:rPr>
          <w:rFonts w:hint="eastAsia" w:cstheme="minorHAnsi"/>
          <w:kern w:val="0"/>
          <w:sz w:val="20"/>
          <w:szCs w:val="20"/>
          <w:lang w:val="en-US" w:eastAsia="zh-CN"/>
        </w:rPr>
        <w:t xml:space="preserve">, </w:t>
      </w:r>
      <w:r>
        <w:rPr>
          <w:rFonts w:hint="eastAsia" w:eastAsia="宋体" w:cstheme="minorHAnsi"/>
          <w:kern w:val="0"/>
          <w:sz w:val="20"/>
          <w:szCs w:val="20"/>
          <w:lang w:val="en-US" w:eastAsia="zh-CN"/>
        </w:rPr>
        <w:t>On lower MSD for inter-band CAENDC, ZTE</w:t>
      </w:r>
    </w:p>
    <w:p>
      <w:pPr>
        <w:rPr>
          <w:rFonts w:hint="eastAsia" w:eastAsia="宋体" w:cstheme="minorHAnsi"/>
          <w:kern w:val="0"/>
          <w:sz w:val="20"/>
          <w:szCs w:val="20"/>
          <w:lang w:val="en-US" w:eastAsia="zh-CN"/>
        </w:rPr>
      </w:pPr>
      <w:r>
        <w:rPr>
          <w:rFonts w:hint="eastAsia" w:cstheme="minorHAnsi"/>
          <w:kern w:val="0"/>
          <w:sz w:val="20"/>
          <w:szCs w:val="20"/>
          <w:lang w:val="en-US" w:eastAsia="zh-CN"/>
        </w:rPr>
        <w:t xml:space="preserve">[7] </w:t>
      </w:r>
      <w:r>
        <w:rPr>
          <w:rFonts w:hint="eastAsia" w:eastAsia="宋体" w:cstheme="minorHAnsi"/>
          <w:kern w:val="0"/>
          <w:sz w:val="20"/>
          <w:szCs w:val="20"/>
          <w:lang w:val="en-US" w:eastAsia="zh-CN"/>
        </w:rPr>
        <w:t>RP-230753, WID revision: Further RF requirements enhancement for NR and EN-DC in frequency range 1,  Huawei</w:t>
      </w:r>
    </w:p>
    <w:p>
      <w:pPr>
        <w:rPr>
          <w:rFonts w:hint="eastAsia" w:eastAsia="宋体" w:cstheme="minorHAnsi"/>
          <w:kern w:val="0"/>
          <w:sz w:val="20"/>
          <w:szCs w:val="20"/>
          <w:lang w:val="en-US" w:eastAsia="zh-CN"/>
        </w:rPr>
      </w:pPr>
    </w:p>
    <w:p>
      <w:pPr>
        <w:rPr>
          <w:sz w:val="20"/>
          <w:szCs w:val="20"/>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10E5EFC"/>
    <w:multiLevelType w:val="multilevel"/>
    <w:tmpl w:val="210E5EFC"/>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7D442B8"/>
    <w:multiLevelType w:val="multilevel"/>
    <w:tmpl w:val="47D442B8"/>
    <w:lvl w:ilvl="0" w:tentative="0">
      <w:start w:val="2022"/>
      <w:numFmt w:val="bullet"/>
      <w:lvlText w:val="-"/>
      <w:lvlJc w:val="left"/>
      <w:pPr>
        <w:ind w:left="420" w:hanging="42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9EB075C"/>
    <w:multiLevelType w:val="multilevel"/>
    <w:tmpl w:val="49EB075C"/>
    <w:lvl w:ilvl="0" w:tentative="0">
      <w:start w:val="2"/>
      <w:numFmt w:val="bullet"/>
      <w:lvlText w:val="-"/>
      <w:lvlJc w:val="left"/>
      <w:pPr>
        <w:ind w:left="820" w:hanging="420"/>
      </w:pPr>
      <w:rPr>
        <w:rFonts w:hint="default" w:ascii="Times New Roman" w:hAnsi="Times New Roman" w:eastAsia="Times New Roman" w:cs="Times New Roman"/>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6F817ECB"/>
    <w:multiLevelType w:val="multilevel"/>
    <w:tmpl w:val="6F817EC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80E799A"/>
    <w:multiLevelType w:val="multilevel"/>
    <w:tmpl w:val="780E799A"/>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4"/>
  </w:num>
  <w:num w:numId="4">
    <w:abstractNumId w:val="5"/>
  </w:num>
  <w:num w:numId="5">
    <w:abstractNumId w:val="1"/>
  </w:num>
  <w:num w:numId="6">
    <w:abstractNumId w:val="0"/>
  </w:num>
  <w:num w:numId="7">
    <w:abstractNumId w:val="3"/>
  </w:num>
  <w:num w:numId="8">
    <w:abstractNumId w:val="8"/>
  </w:num>
  <w:num w:numId="9">
    <w:abstractNumId w:val="10"/>
  </w:num>
  <w:num w:numId="10">
    <w:abstractNumId w:val="7"/>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0B81"/>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54134"/>
    <w:rsid w:val="008616A3"/>
    <w:rsid w:val="00866C06"/>
    <w:rsid w:val="0088501F"/>
    <w:rsid w:val="0088695E"/>
    <w:rsid w:val="00887B64"/>
    <w:rsid w:val="00887C4C"/>
    <w:rsid w:val="00892BB4"/>
    <w:rsid w:val="00896760"/>
    <w:rsid w:val="008B5336"/>
    <w:rsid w:val="008B5677"/>
    <w:rsid w:val="008B76EE"/>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767C2"/>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47B4E"/>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3294"/>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3340A0"/>
    <w:rsid w:val="014A0623"/>
    <w:rsid w:val="01536583"/>
    <w:rsid w:val="01764F01"/>
    <w:rsid w:val="017975DC"/>
    <w:rsid w:val="018107C9"/>
    <w:rsid w:val="01854FE9"/>
    <w:rsid w:val="018E207B"/>
    <w:rsid w:val="0190283E"/>
    <w:rsid w:val="019123B1"/>
    <w:rsid w:val="019559C6"/>
    <w:rsid w:val="0197269A"/>
    <w:rsid w:val="019D155B"/>
    <w:rsid w:val="01A428BB"/>
    <w:rsid w:val="01AE307F"/>
    <w:rsid w:val="01B30160"/>
    <w:rsid w:val="01B35169"/>
    <w:rsid w:val="01C00B7B"/>
    <w:rsid w:val="01D46B8D"/>
    <w:rsid w:val="01D866D8"/>
    <w:rsid w:val="01DF5940"/>
    <w:rsid w:val="01EE2663"/>
    <w:rsid w:val="01FB366B"/>
    <w:rsid w:val="01FD3930"/>
    <w:rsid w:val="01FF2B33"/>
    <w:rsid w:val="020772E8"/>
    <w:rsid w:val="021B7C87"/>
    <w:rsid w:val="022747F6"/>
    <w:rsid w:val="022D4A6E"/>
    <w:rsid w:val="023B0A39"/>
    <w:rsid w:val="023C78A7"/>
    <w:rsid w:val="02444B7E"/>
    <w:rsid w:val="024B023C"/>
    <w:rsid w:val="024D6B6A"/>
    <w:rsid w:val="02510B5E"/>
    <w:rsid w:val="02566C17"/>
    <w:rsid w:val="02655431"/>
    <w:rsid w:val="027275A1"/>
    <w:rsid w:val="027371D9"/>
    <w:rsid w:val="0276366F"/>
    <w:rsid w:val="027F646E"/>
    <w:rsid w:val="028F208E"/>
    <w:rsid w:val="028F6D4C"/>
    <w:rsid w:val="02933CBB"/>
    <w:rsid w:val="02951DBD"/>
    <w:rsid w:val="029A3615"/>
    <w:rsid w:val="029A69A7"/>
    <w:rsid w:val="029B04E7"/>
    <w:rsid w:val="02A10998"/>
    <w:rsid w:val="02AE6812"/>
    <w:rsid w:val="02B80EC2"/>
    <w:rsid w:val="02DC3F9C"/>
    <w:rsid w:val="03073BDC"/>
    <w:rsid w:val="030B0647"/>
    <w:rsid w:val="030B2860"/>
    <w:rsid w:val="030C40C1"/>
    <w:rsid w:val="03143587"/>
    <w:rsid w:val="033571AA"/>
    <w:rsid w:val="03445E8F"/>
    <w:rsid w:val="03496C64"/>
    <w:rsid w:val="035154D3"/>
    <w:rsid w:val="03527C38"/>
    <w:rsid w:val="0356746F"/>
    <w:rsid w:val="036E37C2"/>
    <w:rsid w:val="03746F87"/>
    <w:rsid w:val="03790E7C"/>
    <w:rsid w:val="03814F5B"/>
    <w:rsid w:val="038B3141"/>
    <w:rsid w:val="038B5426"/>
    <w:rsid w:val="03A77DFA"/>
    <w:rsid w:val="03B339B1"/>
    <w:rsid w:val="03C05350"/>
    <w:rsid w:val="03C1287B"/>
    <w:rsid w:val="03C36B0E"/>
    <w:rsid w:val="03C528EA"/>
    <w:rsid w:val="03CF67FA"/>
    <w:rsid w:val="03E358F3"/>
    <w:rsid w:val="03E84DE8"/>
    <w:rsid w:val="04030035"/>
    <w:rsid w:val="04251A4C"/>
    <w:rsid w:val="042D2E97"/>
    <w:rsid w:val="042D55B5"/>
    <w:rsid w:val="04305EA0"/>
    <w:rsid w:val="043865BF"/>
    <w:rsid w:val="044C78D8"/>
    <w:rsid w:val="04526036"/>
    <w:rsid w:val="04537B11"/>
    <w:rsid w:val="04684A28"/>
    <w:rsid w:val="046C0EAE"/>
    <w:rsid w:val="04782230"/>
    <w:rsid w:val="0479507E"/>
    <w:rsid w:val="04894975"/>
    <w:rsid w:val="04B14B03"/>
    <w:rsid w:val="04DA1A87"/>
    <w:rsid w:val="04DE2DA3"/>
    <w:rsid w:val="04EB6DF8"/>
    <w:rsid w:val="04FF1C94"/>
    <w:rsid w:val="04FF7D5A"/>
    <w:rsid w:val="0502349F"/>
    <w:rsid w:val="050845E3"/>
    <w:rsid w:val="050E7487"/>
    <w:rsid w:val="05161D2D"/>
    <w:rsid w:val="0522500E"/>
    <w:rsid w:val="052E568F"/>
    <w:rsid w:val="053973F0"/>
    <w:rsid w:val="053B7051"/>
    <w:rsid w:val="053E65E7"/>
    <w:rsid w:val="0555228E"/>
    <w:rsid w:val="057D1D66"/>
    <w:rsid w:val="059D265F"/>
    <w:rsid w:val="05B11403"/>
    <w:rsid w:val="05B40A94"/>
    <w:rsid w:val="05B92EC1"/>
    <w:rsid w:val="05DC58F7"/>
    <w:rsid w:val="05E078B3"/>
    <w:rsid w:val="05EE6827"/>
    <w:rsid w:val="0601277E"/>
    <w:rsid w:val="060C5AED"/>
    <w:rsid w:val="060F0DB7"/>
    <w:rsid w:val="06103146"/>
    <w:rsid w:val="06172561"/>
    <w:rsid w:val="061E54DA"/>
    <w:rsid w:val="061E5E22"/>
    <w:rsid w:val="06460B91"/>
    <w:rsid w:val="0654187C"/>
    <w:rsid w:val="065475DE"/>
    <w:rsid w:val="06556C03"/>
    <w:rsid w:val="06782F84"/>
    <w:rsid w:val="067C28D6"/>
    <w:rsid w:val="06860017"/>
    <w:rsid w:val="068E06BC"/>
    <w:rsid w:val="069201CB"/>
    <w:rsid w:val="06956E2E"/>
    <w:rsid w:val="06B741D9"/>
    <w:rsid w:val="06C457B6"/>
    <w:rsid w:val="06CD4A70"/>
    <w:rsid w:val="06DC6D55"/>
    <w:rsid w:val="06DF4C13"/>
    <w:rsid w:val="06E7678C"/>
    <w:rsid w:val="06F42A88"/>
    <w:rsid w:val="06F801C0"/>
    <w:rsid w:val="07047E89"/>
    <w:rsid w:val="071C13A8"/>
    <w:rsid w:val="073D143C"/>
    <w:rsid w:val="074855FD"/>
    <w:rsid w:val="07627CA0"/>
    <w:rsid w:val="076319C4"/>
    <w:rsid w:val="076925D2"/>
    <w:rsid w:val="077241E3"/>
    <w:rsid w:val="078C5933"/>
    <w:rsid w:val="078D336C"/>
    <w:rsid w:val="07971B3F"/>
    <w:rsid w:val="07983294"/>
    <w:rsid w:val="07A5677E"/>
    <w:rsid w:val="07B51934"/>
    <w:rsid w:val="07B9290D"/>
    <w:rsid w:val="07BE52B9"/>
    <w:rsid w:val="07C55A1A"/>
    <w:rsid w:val="07D57946"/>
    <w:rsid w:val="07E230F5"/>
    <w:rsid w:val="07E813FD"/>
    <w:rsid w:val="07ED524D"/>
    <w:rsid w:val="07EE4B03"/>
    <w:rsid w:val="080124E3"/>
    <w:rsid w:val="080C7FA0"/>
    <w:rsid w:val="08106C28"/>
    <w:rsid w:val="08193C24"/>
    <w:rsid w:val="08341060"/>
    <w:rsid w:val="085F6A82"/>
    <w:rsid w:val="08604F33"/>
    <w:rsid w:val="08787FF0"/>
    <w:rsid w:val="0889002B"/>
    <w:rsid w:val="089D3E53"/>
    <w:rsid w:val="08A44DA6"/>
    <w:rsid w:val="08AA245A"/>
    <w:rsid w:val="08B76AC7"/>
    <w:rsid w:val="08BA6E24"/>
    <w:rsid w:val="08C562FD"/>
    <w:rsid w:val="08CA27B1"/>
    <w:rsid w:val="08E916DF"/>
    <w:rsid w:val="08F473EA"/>
    <w:rsid w:val="08FC0AA5"/>
    <w:rsid w:val="08FC49EE"/>
    <w:rsid w:val="09160AF0"/>
    <w:rsid w:val="09306537"/>
    <w:rsid w:val="09355076"/>
    <w:rsid w:val="09392119"/>
    <w:rsid w:val="09445E95"/>
    <w:rsid w:val="094F6DB2"/>
    <w:rsid w:val="09543B3B"/>
    <w:rsid w:val="09600FBD"/>
    <w:rsid w:val="098143BC"/>
    <w:rsid w:val="098500F1"/>
    <w:rsid w:val="09954890"/>
    <w:rsid w:val="09BD407A"/>
    <w:rsid w:val="09DA0E26"/>
    <w:rsid w:val="09E55691"/>
    <w:rsid w:val="09EA4DBF"/>
    <w:rsid w:val="09F67CD5"/>
    <w:rsid w:val="0A054821"/>
    <w:rsid w:val="0A0835C8"/>
    <w:rsid w:val="0A0B04F0"/>
    <w:rsid w:val="0A12566D"/>
    <w:rsid w:val="0A145721"/>
    <w:rsid w:val="0A2E6264"/>
    <w:rsid w:val="0A355EAA"/>
    <w:rsid w:val="0A3708FF"/>
    <w:rsid w:val="0A3B01F9"/>
    <w:rsid w:val="0A3F0488"/>
    <w:rsid w:val="0A402A36"/>
    <w:rsid w:val="0A4236A3"/>
    <w:rsid w:val="0A646846"/>
    <w:rsid w:val="0A8251CA"/>
    <w:rsid w:val="0A8828AB"/>
    <w:rsid w:val="0A927DC1"/>
    <w:rsid w:val="0A9B4F7F"/>
    <w:rsid w:val="0A9C263A"/>
    <w:rsid w:val="0A9E3D3D"/>
    <w:rsid w:val="0AA077E0"/>
    <w:rsid w:val="0ABA0798"/>
    <w:rsid w:val="0AC008AD"/>
    <w:rsid w:val="0AC01F88"/>
    <w:rsid w:val="0AC0212C"/>
    <w:rsid w:val="0AD542C1"/>
    <w:rsid w:val="0ADD5A20"/>
    <w:rsid w:val="0AE10FD9"/>
    <w:rsid w:val="0AF13898"/>
    <w:rsid w:val="0AFB3228"/>
    <w:rsid w:val="0AFC6C07"/>
    <w:rsid w:val="0AFF4BF3"/>
    <w:rsid w:val="0B02250E"/>
    <w:rsid w:val="0B0F025C"/>
    <w:rsid w:val="0B1A6333"/>
    <w:rsid w:val="0B2713F4"/>
    <w:rsid w:val="0B3D701F"/>
    <w:rsid w:val="0B3E7DD7"/>
    <w:rsid w:val="0B561995"/>
    <w:rsid w:val="0B5C2C2A"/>
    <w:rsid w:val="0B5F5C5C"/>
    <w:rsid w:val="0B665E0A"/>
    <w:rsid w:val="0B680CC0"/>
    <w:rsid w:val="0B7A2D49"/>
    <w:rsid w:val="0B822A65"/>
    <w:rsid w:val="0B847B39"/>
    <w:rsid w:val="0B8B1442"/>
    <w:rsid w:val="0B9E71DF"/>
    <w:rsid w:val="0BAE6422"/>
    <w:rsid w:val="0BB524B8"/>
    <w:rsid w:val="0BB756DF"/>
    <w:rsid w:val="0BC63DB2"/>
    <w:rsid w:val="0BCC4043"/>
    <w:rsid w:val="0BCC4B6A"/>
    <w:rsid w:val="0BEA2B11"/>
    <w:rsid w:val="0C1E494F"/>
    <w:rsid w:val="0C2946BF"/>
    <w:rsid w:val="0C3427D0"/>
    <w:rsid w:val="0C4261B7"/>
    <w:rsid w:val="0C43327D"/>
    <w:rsid w:val="0C4426AF"/>
    <w:rsid w:val="0C4577EC"/>
    <w:rsid w:val="0C5C6396"/>
    <w:rsid w:val="0C63431B"/>
    <w:rsid w:val="0C650A20"/>
    <w:rsid w:val="0C6E11B8"/>
    <w:rsid w:val="0C723CD1"/>
    <w:rsid w:val="0C8B63A3"/>
    <w:rsid w:val="0C8D7DA5"/>
    <w:rsid w:val="0CB94808"/>
    <w:rsid w:val="0CC37BC2"/>
    <w:rsid w:val="0CD87ABE"/>
    <w:rsid w:val="0CD97D2E"/>
    <w:rsid w:val="0CE26C42"/>
    <w:rsid w:val="0CE76B48"/>
    <w:rsid w:val="0CEB4AD5"/>
    <w:rsid w:val="0CEB5DBE"/>
    <w:rsid w:val="0CFB523A"/>
    <w:rsid w:val="0D1B1E9C"/>
    <w:rsid w:val="0D4B44A1"/>
    <w:rsid w:val="0D6811B4"/>
    <w:rsid w:val="0D6E2620"/>
    <w:rsid w:val="0D704E21"/>
    <w:rsid w:val="0D7C083C"/>
    <w:rsid w:val="0D7F48FE"/>
    <w:rsid w:val="0D880496"/>
    <w:rsid w:val="0D883C88"/>
    <w:rsid w:val="0D936E72"/>
    <w:rsid w:val="0D966BF7"/>
    <w:rsid w:val="0DBE2BFD"/>
    <w:rsid w:val="0DCC3AE8"/>
    <w:rsid w:val="0DD87842"/>
    <w:rsid w:val="0DF202E1"/>
    <w:rsid w:val="0DF53CE3"/>
    <w:rsid w:val="0E0961C5"/>
    <w:rsid w:val="0E147898"/>
    <w:rsid w:val="0E2F216B"/>
    <w:rsid w:val="0E3352C6"/>
    <w:rsid w:val="0E6271DF"/>
    <w:rsid w:val="0E81568A"/>
    <w:rsid w:val="0E942250"/>
    <w:rsid w:val="0E963344"/>
    <w:rsid w:val="0E9E6E00"/>
    <w:rsid w:val="0EA40C1C"/>
    <w:rsid w:val="0EA76476"/>
    <w:rsid w:val="0ECE4E4A"/>
    <w:rsid w:val="0EEC6F1D"/>
    <w:rsid w:val="0EEE2748"/>
    <w:rsid w:val="0F103291"/>
    <w:rsid w:val="0F1D498B"/>
    <w:rsid w:val="0F300E5C"/>
    <w:rsid w:val="0F337178"/>
    <w:rsid w:val="0F3B15FC"/>
    <w:rsid w:val="0F41022A"/>
    <w:rsid w:val="0F60682C"/>
    <w:rsid w:val="0F6763D9"/>
    <w:rsid w:val="0F715B2B"/>
    <w:rsid w:val="0F764270"/>
    <w:rsid w:val="0F7F273F"/>
    <w:rsid w:val="0F8418ED"/>
    <w:rsid w:val="0F957B47"/>
    <w:rsid w:val="0F98796C"/>
    <w:rsid w:val="0F9F6FA4"/>
    <w:rsid w:val="0FA65D5C"/>
    <w:rsid w:val="0FAB4CF6"/>
    <w:rsid w:val="0FAD33DA"/>
    <w:rsid w:val="0FBE2A42"/>
    <w:rsid w:val="0FC17CCE"/>
    <w:rsid w:val="0FC424B9"/>
    <w:rsid w:val="0FC50738"/>
    <w:rsid w:val="0FD70565"/>
    <w:rsid w:val="0FD87DAE"/>
    <w:rsid w:val="0FEC680C"/>
    <w:rsid w:val="10007AD6"/>
    <w:rsid w:val="101B1E8A"/>
    <w:rsid w:val="101C4A03"/>
    <w:rsid w:val="101D0C86"/>
    <w:rsid w:val="104503BD"/>
    <w:rsid w:val="104A023B"/>
    <w:rsid w:val="10505F3B"/>
    <w:rsid w:val="106D2686"/>
    <w:rsid w:val="106D3A49"/>
    <w:rsid w:val="107C3E2C"/>
    <w:rsid w:val="107D41AE"/>
    <w:rsid w:val="108C2479"/>
    <w:rsid w:val="10956B24"/>
    <w:rsid w:val="10A62262"/>
    <w:rsid w:val="10AB531B"/>
    <w:rsid w:val="10C715C5"/>
    <w:rsid w:val="10D335EF"/>
    <w:rsid w:val="10E746EA"/>
    <w:rsid w:val="10E83FE0"/>
    <w:rsid w:val="10EC3168"/>
    <w:rsid w:val="10F52718"/>
    <w:rsid w:val="114028DC"/>
    <w:rsid w:val="115B17DF"/>
    <w:rsid w:val="116F1EB0"/>
    <w:rsid w:val="117B1D6A"/>
    <w:rsid w:val="117C2D9D"/>
    <w:rsid w:val="117F159E"/>
    <w:rsid w:val="11821DC9"/>
    <w:rsid w:val="11827835"/>
    <w:rsid w:val="11921373"/>
    <w:rsid w:val="119D7849"/>
    <w:rsid w:val="11A658F4"/>
    <w:rsid w:val="11C67B8F"/>
    <w:rsid w:val="11CE730E"/>
    <w:rsid w:val="11D815C4"/>
    <w:rsid w:val="11E57D4F"/>
    <w:rsid w:val="11E8623C"/>
    <w:rsid w:val="11F92DAB"/>
    <w:rsid w:val="11FC38D5"/>
    <w:rsid w:val="1210682D"/>
    <w:rsid w:val="122637A4"/>
    <w:rsid w:val="123A05DB"/>
    <w:rsid w:val="124240B9"/>
    <w:rsid w:val="124B19A2"/>
    <w:rsid w:val="124D0988"/>
    <w:rsid w:val="12680E73"/>
    <w:rsid w:val="126B58C3"/>
    <w:rsid w:val="12763466"/>
    <w:rsid w:val="127E5AA6"/>
    <w:rsid w:val="128B2749"/>
    <w:rsid w:val="12922260"/>
    <w:rsid w:val="129811DB"/>
    <w:rsid w:val="129937EE"/>
    <w:rsid w:val="129E6282"/>
    <w:rsid w:val="12AB7A32"/>
    <w:rsid w:val="12BB6535"/>
    <w:rsid w:val="12C7312B"/>
    <w:rsid w:val="12D16E53"/>
    <w:rsid w:val="12D22971"/>
    <w:rsid w:val="12D85654"/>
    <w:rsid w:val="12DF4A87"/>
    <w:rsid w:val="12EE5106"/>
    <w:rsid w:val="1307341C"/>
    <w:rsid w:val="130B6F16"/>
    <w:rsid w:val="130E3629"/>
    <w:rsid w:val="13185A9A"/>
    <w:rsid w:val="131B39DD"/>
    <w:rsid w:val="13283BA4"/>
    <w:rsid w:val="13332F77"/>
    <w:rsid w:val="13334E1C"/>
    <w:rsid w:val="13346EE4"/>
    <w:rsid w:val="13384952"/>
    <w:rsid w:val="1355107F"/>
    <w:rsid w:val="135D4D2E"/>
    <w:rsid w:val="135F558A"/>
    <w:rsid w:val="1366638D"/>
    <w:rsid w:val="136D76E8"/>
    <w:rsid w:val="137266E0"/>
    <w:rsid w:val="138776C1"/>
    <w:rsid w:val="139C0084"/>
    <w:rsid w:val="13AA5FA1"/>
    <w:rsid w:val="13C20262"/>
    <w:rsid w:val="13D024B3"/>
    <w:rsid w:val="13D115EF"/>
    <w:rsid w:val="13D86A45"/>
    <w:rsid w:val="13DD445E"/>
    <w:rsid w:val="13FD073F"/>
    <w:rsid w:val="140171D9"/>
    <w:rsid w:val="1405674E"/>
    <w:rsid w:val="140815BB"/>
    <w:rsid w:val="14087FC1"/>
    <w:rsid w:val="14095006"/>
    <w:rsid w:val="14103385"/>
    <w:rsid w:val="141C71BE"/>
    <w:rsid w:val="141E583B"/>
    <w:rsid w:val="1424615D"/>
    <w:rsid w:val="142C143A"/>
    <w:rsid w:val="142E1345"/>
    <w:rsid w:val="145103FA"/>
    <w:rsid w:val="145F07C7"/>
    <w:rsid w:val="146C5189"/>
    <w:rsid w:val="146F1089"/>
    <w:rsid w:val="14816B50"/>
    <w:rsid w:val="148313F4"/>
    <w:rsid w:val="148418A5"/>
    <w:rsid w:val="149009FB"/>
    <w:rsid w:val="14934F1A"/>
    <w:rsid w:val="149559C4"/>
    <w:rsid w:val="14AC0C32"/>
    <w:rsid w:val="14C45576"/>
    <w:rsid w:val="14C76D6C"/>
    <w:rsid w:val="14DA3DA1"/>
    <w:rsid w:val="14DC510B"/>
    <w:rsid w:val="14DD0F74"/>
    <w:rsid w:val="14E60B42"/>
    <w:rsid w:val="14EA1C4D"/>
    <w:rsid w:val="14F45291"/>
    <w:rsid w:val="150F7C33"/>
    <w:rsid w:val="1515004B"/>
    <w:rsid w:val="151C2398"/>
    <w:rsid w:val="15207BBA"/>
    <w:rsid w:val="152F4E1B"/>
    <w:rsid w:val="15301B49"/>
    <w:rsid w:val="1543305E"/>
    <w:rsid w:val="154D342A"/>
    <w:rsid w:val="1559587F"/>
    <w:rsid w:val="1574662E"/>
    <w:rsid w:val="15751882"/>
    <w:rsid w:val="1575191B"/>
    <w:rsid w:val="157818C6"/>
    <w:rsid w:val="157B08C1"/>
    <w:rsid w:val="159F73BB"/>
    <w:rsid w:val="15B03F28"/>
    <w:rsid w:val="15E30A80"/>
    <w:rsid w:val="1608480E"/>
    <w:rsid w:val="160D1A98"/>
    <w:rsid w:val="161C1C58"/>
    <w:rsid w:val="162F7556"/>
    <w:rsid w:val="16410A26"/>
    <w:rsid w:val="16413A3A"/>
    <w:rsid w:val="1644500C"/>
    <w:rsid w:val="16461A95"/>
    <w:rsid w:val="16506BD3"/>
    <w:rsid w:val="16594F06"/>
    <w:rsid w:val="166F5E80"/>
    <w:rsid w:val="16766A92"/>
    <w:rsid w:val="167A52A9"/>
    <w:rsid w:val="167B7B40"/>
    <w:rsid w:val="167C6594"/>
    <w:rsid w:val="16866882"/>
    <w:rsid w:val="168F69F2"/>
    <w:rsid w:val="16913F69"/>
    <w:rsid w:val="169C7FDE"/>
    <w:rsid w:val="16A4319F"/>
    <w:rsid w:val="16A8240B"/>
    <w:rsid w:val="16AC4DDB"/>
    <w:rsid w:val="16AE2FE3"/>
    <w:rsid w:val="16B23908"/>
    <w:rsid w:val="16B4400E"/>
    <w:rsid w:val="16C739DF"/>
    <w:rsid w:val="16C86CDB"/>
    <w:rsid w:val="16D5401D"/>
    <w:rsid w:val="16DD3B26"/>
    <w:rsid w:val="16EB6E00"/>
    <w:rsid w:val="16FD2447"/>
    <w:rsid w:val="1712339A"/>
    <w:rsid w:val="171D6910"/>
    <w:rsid w:val="171E63FC"/>
    <w:rsid w:val="1722504D"/>
    <w:rsid w:val="1738730F"/>
    <w:rsid w:val="17416499"/>
    <w:rsid w:val="17481B81"/>
    <w:rsid w:val="17481E8B"/>
    <w:rsid w:val="175007ED"/>
    <w:rsid w:val="176B45C6"/>
    <w:rsid w:val="176C447F"/>
    <w:rsid w:val="17850F99"/>
    <w:rsid w:val="17875303"/>
    <w:rsid w:val="1793626E"/>
    <w:rsid w:val="17937F5D"/>
    <w:rsid w:val="17991452"/>
    <w:rsid w:val="17A875F5"/>
    <w:rsid w:val="17B5256D"/>
    <w:rsid w:val="17B92501"/>
    <w:rsid w:val="17E65848"/>
    <w:rsid w:val="17E66DD8"/>
    <w:rsid w:val="17E84839"/>
    <w:rsid w:val="17EE1403"/>
    <w:rsid w:val="17F25234"/>
    <w:rsid w:val="17FD061B"/>
    <w:rsid w:val="17FF6314"/>
    <w:rsid w:val="18005F41"/>
    <w:rsid w:val="18025414"/>
    <w:rsid w:val="18171305"/>
    <w:rsid w:val="181822DE"/>
    <w:rsid w:val="18334194"/>
    <w:rsid w:val="1835150C"/>
    <w:rsid w:val="183E1D37"/>
    <w:rsid w:val="184D0787"/>
    <w:rsid w:val="185D1883"/>
    <w:rsid w:val="18812331"/>
    <w:rsid w:val="18816F1C"/>
    <w:rsid w:val="18853F3E"/>
    <w:rsid w:val="18956393"/>
    <w:rsid w:val="1899393B"/>
    <w:rsid w:val="18A8582C"/>
    <w:rsid w:val="18B50543"/>
    <w:rsid w:val="18CA40C3"/>
    <w:rsid w:val="18CD7A02"/>
    <w:rsid w:val="18CE2CF6"/>
    <w:rsid w:val="19001FFC"/>
    <w:rsid w:val="190E2B4A"/>
    <w:rsid w:val="19256D7A"/>
    <w:rsid w:val="19287518"/>
    <w:rsid w:val="193275C2"/>
    <w:rsid w:val="19663168"/>
    <w:rsid w:val="197724BD"/>
    <w:rsid w:val="19786B0A"/>
    <w:rsid w:val="199A2059"/>
    <w:rsid w:val="19A04230"/>
    <w:rsid w:val="19B46E10"/>
    <w:rsid w:val="19C456C1"/>
    <w:rsid w:val="19C75C49"/>
    <w:rsid w:val="19D917D0"/>
    <w:rsid w:val="19DB4444"/>
    <w:rsid w:val="19F061A1"/>
    <w:rsid w:val="19F21092"/>
    <w:rsid w:val="1A054259"/>
    <w:rsid w:val="1A081816"/>
    <w:rsid w:val="1A0C5680"/>
    <w:rsid w:val="1A135407"/>
    <w:rsid w:val="1A165171"/>
    <w:rsid w:val="1A1C0EE4"/>
    <w:rsid w:val="1A412D03"/>
    <w:rsid w:val="1A4858FF"/>
    <w:rsid w:val="1A4C698A"/>
    <w:rsid w:val="1A4E1C07"/>
    <w:rsid w:val="1A5E4B5A"/>
    <w:rsid w:val="1A672B1C"/>
    <w:rsid w:val="1A685DCA"/>
    <w:rsid w:val="1A8301C0"/>
    <w:rsid w:val="1A872248"/>
    <w:rsid w:val="1A9B2279"/>
    <w:rsid w:val="1A9E6232"/>
    <w:rsid w:val="1AA57BA7"/>
    <w:rsid w:val="1AA74D3D"/>
    <w:rsid w:val="1AB34DB4"/>
    <w:rsid w:val="1AB613FD"/>
    <w:rsid w:val="1ABC1C63"/>
    <w:rsid w:val="1ACF5EB8"/>
    <w:rsid w:val="1AD26086"/>
    <w:rsid w:val="1ADD5ACE"/>
    <w:rsid w:val="1AE013F8"/>
    <w:rsid w:val="1AE8570C"/>
    <w:rsid w:val="1AFB06A3"/>
    <w:rsid w:val="1B061AB0"/>
    <w:rsid w:val="1B0B77C7"/>
    <w:rsid w:val="1B0F13B2"/>
    <w:rsid w:val="1B0F19AE"/>
    <w:rsid w:val="1B1C721D"/>
    <w:rsid w:val="1B2160BB"/>
    <w:rsid w:val="1B3637AD"/>
    <w:rsid w:val="1B3E0DB5"/>
    <w:rsid w:val="1B454C94"/>
    <w:rsid w:val="1B531C82"/>
    <w:rsid w:val="1B6C0DF0"/>
    <w:rsid w:val="1B7F6005"/>
    <w:rsid w:val="1B8C2265"/>
    <w:rsid w:val="1B9C269A"/>
    <w:rsid w:val="1B9E64C5"/>
    <w:rsid w:val="1B9E6D4C"/>
    <w:rsid w:val="1BA82984"/>
    <w:rsid w:val="1BBD43BA"/>
    <w:rsid w:val="1BC01115"/>
    <w:rsid w:val="1BC44015"/>
    <w:rsid w:val="1BCA6284"/>
    <w:rsid w:val="1BE307C9"/>
    <w:rsid w:val="1BF151D9"/>
    <w:rsid w:val="1BFE5FF9"/>
    <w:rsid w:val="1C013494"/>
    <w:rsid w:val="1C053414"/>
    <w:rsid w:val="1C132CB9"/>
    <w:rsid w:val="1C1708A6"/>
    <w:rsid w:val="1C273D33"/>
    <w:rsid w:val="1C334AB7"/>
    <w:rsid w:val="1C4032AB"/>
    <w:rsid w:val="1C4672ED"/>
    <w:rsid w:val="1C467AB6"/>
    <w:rsid w:val="1C6277A9"/>
    <w:rsid w:val="1C7F54CE"/>
    <w:rsid w:val="1C7F743F"/>
    <w:rsid w:val="1C8C4AA9"/>
    <w:rsid w:val="1C8C604B"/>
    <w:rsid w:val="1C92160B"/>
    <w:rsid w:val="1C973EEF"/>
    <w:rsid w:val="1CA03243"/>
    <w:rsid w:val="1CAF5DB2"/>
    <w:rsid w:val="1CB51D8F"/>
    <w:rsid w:val="1CCC26CA"/>
    <w:rsid w:val="1CD2156B"/>
    <w:rsid w:val="1CD41743"/>
    <w:rsid w:val="1CD44D3D"/>
    <w:rsid w:val="1CE45EF5"/>
    <w:rsid w:val="1CE615C9"/>
    <w:rsid w:val="1D037029"/>
    <w:rsid w:val="1D0E6199"/>
    <w:rsid w:val="1D3305FF"/>
    <w:rsid w:val="1D395282"/>
    <w:rsid w:val="1D5F5386"/>
    <w:rsid w:val="1D7072CE"/>
    <w:rsid w:val="1D794A16"/>
    <w:rsid w:val="1D7F2C5A"/>
    <w:rsid w:val="1D9E30A9"/>
    <w:rsid w:val="1DAB1006"/>
    <w:rsid w:val="1DB33C11"/>
    <w:rsid w:val="1DC65562"/>
    <w:rsid w:val="1DE94164"/>
    <w:rsid w:val="1DEE1B11"/>
    <w:rsid w:val="1DF114AC"/>
    <w:rsid w:val="1E164B52"/>
    <w:rsid w:val="1E273844"/>
    <w:rsid w:val="1E2F243E"/>
    <w:rsid w:val="1E3B4F6B"/>
    <w:rsid w:val="1E4152B2"/>
    <w:rsid w:val="1E455D19"/>
    <w:rsid w:val="1E595CAF"/>
    <w:rsid w:val="1E6607F9"/>
    <w:rsid w:val="1E805396"/>
    <w:rsid w:val="1E884F62"/>
    <w:rsid w:val="1E9B71F4"/>
    <w:rsid w:val="1E9D6342"/>
    <w:rsid w:val="1E9D6D15"/>
    <w:rsid w:val="1EA77730"/>
    <w:rsid w:val="1EC36E9D"/>
    <w:rsid w:val="1EE25FDD"/>
    <w:rsid w:val="1EF5103F"/>
    <w:rsid w:val="1EFF621F"/>
    <w:rsid w:val="1F090F9B"/>
    <w:rsid w:val="1F0E5D6B"/>
    <w:rsid w:val="1F224CC7"/>
    <w:rsid w:val="1F3E662A"/>
    <w:rsid w:val="1F4F2219"/>
    <w:rsid w:val="1F682942"/>
    <w:rsid w:val="1F721405"/>
    <w:rsid w:val="1F935819"/>
    <w:rsid w:val="1FA455F7"/>
    <w:rsid w:val="1FA6556D"/>
    <w:rsid w:val="1FAF2571"/>
    <w:rsid w:val="1FC55EDA"/>
    <w:rsid w:val="1FCE593C"/>
    <w:rsid w:val="1FE312AC"/>
    <w:rsid w:val="1FE47611"/>
    <w:rsid w:val="1FEC45B5"/>
    <w:rsid w:val="1FEC5915"/>
    <w:rsid w:val="1FED32EF"/>
    <w:rsid w:val="1FF86758"/>
    <w:rsid w:val="20446081"/>
    <w:rsid w:val="204852AD"/>
    <w:rsid w:val="204E6676"/>
    <w:rsid w:val="20540770"/>
    <w:rsid w:val="205A5AA0"/>
    <w:rsid w:val="20773A28"/>
    <w:rsid w:val="208574F4"/>
    <w:rsid w:val="208C4449"/>
    <w:rsid w:val="208F6BAF"/>
    <w:rsid w:val="20A462BA"/>
    <w:rsid w:val="20B12F86"/>
    <w:rsid w:val="20BF2AAC"/>
    <w:rsid w:val="20C849C7"/>
    <w:rsid w:val="20DB0471"/>
    <w:rsid w:val="20DF66D2"/>
    <w:rsid w:val="20EC3F2E"/>
    <w:rsid w:val="20EC7C3E"/>
    <w:rsid w:val="210548E9"/>
    <w:rsid w:val="21124D15"/>
    <w:rsid w:val="212B7662"/>
    <w:rsid w:val="213E7119"/>
    <w:rsid w:val="21530058"/>
    <w:rsid w:val="21810744"/>
    <w:rsid w:val="218D6EF5"/>
    <w:rsid w:val="2195668B"/>
    <w:rsid w:val="219F69EC"/>
    <w:rsid w:val="21A130EA"/>
    <w:rsid w:val="21C267BF"/>
    <w:rsid w:val="21CD6BCD"/>
    <w:rsid w:val="21CE6067"/>
    <w:rsid w:val="21CF439A"/>
    <w:rsid w:val="21D90BA2"/>
    <w:rsid w:val="21E57209"/>
    <w:rsid w:val="21F00127"/>
    <w:rsid w:val="21F620DA"/>
    <w:rsid w:val="220F292E"/>
    <w:rsid w:val="221D2FA3"/>
    <w:rsid w:val="2226635F"/>
    <w:rsid w:val="222D4F0B"/>
    <w:rsid w:val="223D7545"/>
    <w:rsid w:val="22411D14"/>
    <w:rsid w:val="22423BE1"/>
    <w:rsid w:val="22454449"/>
    <w:rsid w:val="224936EF"/>
    <w:rsid w:val="22500810"/>
    <w:rsid w:val="226347BD"/>
    <w:rsid w:val="226618E4"/>
    <w:rsid w:val="22682935"/>
    <w:rsid w:val="226E1062"/>
    <w:rsid w:val="228A4698"/>
    <w:rsid w:val="22925971"/>
    <w:rsid w:val="22945167"/>
    <w:rsid w:val="22A55CD5"/>
    <w:rsid w:val="22C41748"/>
    <w:rsid w:val="22C74EE2"/>
    <w:rsid w:val="22CB6237"/>
    <w:rsid w:val="22CD14B5"/>
    <w:rsid w:val="22E02C6E"/>
    <w:rsid w:val="22E04FF4"/>
    <w:rsid w:val="22E1121B"/>
    <w:rsid w:val="22EA4C70"/>
    <w:rsid w:val="22F75251"/>
    <w:rsid w:val="22F86F75"/>
    <w:rsid w:val="22FB4D32"/>
    <w:rsid w:val="22FE2955"/>
    <w:rsid w:val="23131055"/>
    <w:rsid w:val="23144F30"/>
    <w:rsid w:val="233C6F76"/>
    <w:rsid w:val="234449F5"/>
    <w:rsid w:val="23536618"/>
    <w:rsid w:val="23621054"/>
    <w:rsid w:val="23816932"/>
    <w:rsid w:val="23826BC9"/>
    <w:rsid w:val="239C062C"/>
    <w:rsid w:val="23A36853"/>
    <w:rsid w:val="23A9484E"/>
    <w:rsid w:val="23AF7516"/>
    <w:rsid w:val="23B32F98"/>
    <w:rsid w:val="23B84268"/>
    <w:rsid w:val="23C34A75"/>
    <w:rsid w:val="23D17D7B"/>
    <w:rsid w:val="23D36D91"/>
    <w:rsid w:val="23F70BA5"/>
    <w:rsid w:val="23F93D0D"/>
    <w:rsid w:val="2405417E"/>
    <w:rsid w:val="241B5C62"/>
    <w:rsid w:val="241B7BAA"/>
    <w:rsid w:val="24211620"/>
    <w:rsid w:val="24226032"/>
    <w:rsid w:val="2458381E"/>
    <w:rsid w:val="245872F9"/>
    <w:rsid w:val="245943D9"/>
    <w:rsid w:val="245E6B64"/>
    <w:rsid w:val="2463385E"/>
    <w:rsid w:val="24687F28"/>
    <w:rsid w:val="247534C1"/>
    <w:rsid w:val="24965594"/>
    <w:rsid w:val="24967323"/>
    <w:rsid w:val="249D5FC8"/>
    <w:rsid w:val="24A1538E"/>
    <w:rsid w:val="24B9450F"/>
    <w:rsid w:val="24C83F94"/>
    <w:rsid w:val="24F60CDA"/>
    <w:rsid w:val="24FE42EB"/>
    <w:rsid w:val="250D26AB"/>
    <w:rsid w:val="250D450C"/>
    <w:rsid w:val="25134332"/>
    <w:rsid w:val="25141A5B"/>
    <w:rsid w:val="2521546A"/>
    <w:rsid w:val="252A2BA6"/>
    <w:rsid w:val="252B49E0"/>
    <w:rsid w:val="254A35DD"/>
    <w:rsid w:val="25657E8F"/>
    <w:rsid w:val="25734B61"/>
    <w:rsid w:val="25806044"/>
    <w:rsid w:val="25890254"/>
    <w:rsid w:val="258F6BC4"/>
    <w:rsid w:val="25965220"/>
    <w:rsid w:val="25975923"/>
    <w:rsid w:val="259A3D0A"/>
    <w:rsid w:val="259C4B04"/>
    <w:rsid w:val="25A95F3E"/>
    <w:rsid w:val="25A96B27"/>
    <w:rsid w:val="25B552F6"/>
    <w:rsid w:val="25BF6041"/>
    <w:rsid w:val="25C35718"/>
    <w:rsid w:val="25CF0252"/>
    <w:rsid w:val="25D0248E"/>
    <w:rsid w:val="25D61C5C"/>
    <w:rsid w:val="25F81D70"/>
    <w:rsid w:val="25FB5636"/>
    <w:rsid w:val="25FE58A9"/>
    <w:rsid w:val="26001A94"/>
    <w:rsid w:val="26070462"/>
    <w:rsid w:val="260D2C45"/>
    <w:rsid w:val="26395C92"/>
    <w:rsid w:val="26465DA0"/>
    <w:rsid w:val="266237C3"/>
    <w:rsid w:val="267550B9"/>
    <w:rsid w:val="26787B10"/>
    <w:rsid w:val="26924166"/>
    <w:rsid w:val="26B51005"/>
    <w:rsid w:val="26C472EC"/>
    <w:rsid w:val="26EC491A"/>
    <w:rsid w:val="26ED73E1"/>
    <w:rsid w:val="26F503CD"/>
    <w:rsid w:val="26FA031D"/>
    <w:rsid w:val="27036506"/>
    <w:rsid w:val="27047832"/>
    <w:rsid w:val="270D152E"/>
    <w:rsid w:val="27204B5D"/>
    <w:rsid w:val="272F31A0"/>
    <w:rsid w:val="27310CAC"/>
    <w:rsid w:val="27342901"/>
    <w:rsid w:val="27372A21"/>
    <w:rsid w:val="273D2762"/>
    <w:rsid w:val="27470B72"/>
    <w:rsid w:val="27525E32"/>
    <w:rsid w:val="2778582E"/>
    <w:rsid w:val="27806765"/>
    <w:rsid w:val="27832596"/>
    <w:rsid w:val="278C1620"/>
    <w:rsid w:val="279B1E53"/>
    <w:rsid w:val="27AA3521"/>
    <w:rsid w:val="27AB7429"/>
    <w:rsid w:val="27C32038"/>
    <w:rsid w:val="27C57B2B"/>
    <w:rsid w:val="27C72937"/>
    <w:rsid w:val="27C8029E"/>
    <w:rsid w:val="27CC78AC"/>
    <w:rsid w:val="27D86029"/>
    <w:rsid w:val="27DD45ED"/>
    <w:rsid w:val="27E3651B"/>
    <w:rsid w:val="27E864CC"/>
    <w:rsid w:val="27EC25E3"/>
    <w:rsid w:val="27ED0939"/>
    <w:rsid w:val="27F1498B"/>
    <w:rsid w:val="28027A71"/>
    <w:rsid w:val="281F4F67"/>
    <w:rsid w:val="28261909"/>
    <w:rsid w:val="28277050"/>
    <w:rsid w:val="282C0CA3"/>
    <w:rsid w:val="283744B4"/>
    <w:rsid w:val="28485D62"/>
    <w:rsid w:val="285560D7"/>
    <w:rsid w:val="28760CA0"/>
    <w:rsid w:val="287B218C"/>
    <w:rsid w:val="288A05DD"/>
    <w:rsid w:val="28937D89"/>
    <w:rsid w:val="28C96C14"/>
    <w:rsid w:val="28E138E3"/>
    <w:rsid w:val="28E74216"/>
    <w:rsid w:val="28E87EE4"/>
    <w:rsid w:val="2903396A"/>
    <w:rsid w:val="29053563"/>
    <w:rsid w:val="29390450"/>
    <w:rsid w:val="294E766A"/>
    <w:rsid w:val="2978319A"/>
    <w:rsid w:val="29897A2F"/>
    <w:rsid w:val="29984BC2"/>
    <w:rsid w:val="29A3014B"/>
    <w:rsid w:val="29A74CBD"/>
    <w:rsid w:val="29A80BF5"/>
    <w:rsid w:val="29AF306F"/>
    <w:rsid w:val="29B01C34"/>
    <w:rsid w:val="29B03073"/>
    <w:rsid w:val="29B16357"/>
    <w:rsid w:val="29BA0D88"/>
    <w:rsid w:val="29BB3E72"/>
    <w:rsid w:val="29CF32B2"/>
    <w:rsid w:val="29DE15A2"/>
    <w:rsid w:val="29E93C93"/>
    <w:rsid w:val="29EF3680"/>
    <w:rsid w:val="29EF424E"/>
    <w:rsid w:val="29FA7F26"/>
    <w:rsid w:val="2A166823"/>
    <w:rsid w:val="2A24427C"/>
    <w:rsid w:val="2A2D01C6"/>
    <w:rsid w:val="2A337ED4"/>
    <w:rsid w:val="2A35650F"/>
    <w:rsid w:val="2A405845"/>
    <w:rsid w:val="2A4B2712"/>
    <w:rsid w:val="2A4D593F"/>
    <w:rsid w:val="2A6E31F8"/>
    <w:rsid w:val="2A785822"/>
    <w:rsid w:val="2A87174E"/>
    <w:rsid w:val="2A8A2F9C"/>
    <w:rsid w:val="2AAC5A06"/>
    <w:rsid w:val="2ABB0D8A"/>
    <w:rsid w:val="2ABB3D6F"/>
    <w:rsid w:val="2AC70B30"/>
    <w:rsid w:val="2ACC2AAF"/>
    <w:rsid w:val="2AD74744"/>
    <w:rsid w:val="2AD84ADD"/>
    <w:rsid w:val="2AD91AC2"/>
    <w:rsid w:val="2AE57C95"/>
    <w:rsid w:val="2AF35C8B"/>
    <w:rsid w:val="2AF974F0"/>
    <w:rsid w:val="2B0B0935"/>
    <w:rsid w:val="2B0C0EEE"/>
    <w:rsid w:val="2B132265"/>
    <w:rsid w:val="2B1F4608"/>
    <w:rsid w:val="2B214776"/>
    <w:rsid w:val="2B2843BE"/>
    <w:rsid w:val="2B2A7C76"/>
    <w:rsid w:val="2B313FC1"/>
    <w:rsid w:val="2B347C14"/>
    <w:rsid w:val="2B39348E"/>
    <w:rsid w:val="2B3B6967"/>
    <w:rsid w:val="2B437285"/>
    <w:rsid w:val="2B4D695C"/>
    <w:rsid w:val="2B514803"/>
    <w:rsid w:val="2B617C47"/>
    <w:rsid w:val="2B637D4B"/>
    <w:rsid w:val="2B6B1684"/>
    <w:rsid w:val="2B7B70BF"/>
    <w:rsid w:val="2B7F1380"/>
    <w:rsid w:val="2B853AF3"/>
    <w:rsid w:val="2B8B422C"/>
    <w:rsid w:val="2B8C05E8"/>
    <w:rsid w:val="2B8C3CDC"/>
    <w:rsid w:val="2B9C0A67"/>
    <w:rsid w:val="2BA07D38"/>
    <w:rsid w:val="2BA77EA9"/>
    <w:rsid w:val="2BC40957"/>
    <w:rsid w:val="2BCB5DAA"/>
    <w:rsid w:val="2BD65380"/>
    <w:rsid w:val="2BDF344A"/>
    <w:rsid w:val="2BE725D0"/>
    <w:rsid w:val="2BF369B9"/>
    <w:rsid w:val="2BFC0A4A"/>
    <w:rsid w:val="2C094904"/>
    <w:rsid w:val="2C0E55A1"/>
    <w:rsid w:val="2C1205CA"/>
    <w:rsid w:val="2C26701C"/>
    <w:rsid w:val="2C3A7BF6"/>
    <w:rsid w:val="2C425BCE"/>
    <w:rsid w:val="2C44676A"/>
    <w:rsid w:val="2C484507"/>
    <w:rsid w:val="2C495C38"/>
    <w:rsid w:val="2C4A080C"/>
    <w:rsid w:val="2C54533B"/>
    <w:rsid w:val="2C591378"/>
    <w:rsid w:val="2C61413D"/>
    <w:rsid w:val="2C797A76"/>
    <w:rsid w:val="2C8F4862"/>
    <w:rsid w:val="2C9E5AC8"/>
    <w:rsid w:val="2CA2721B"/>
    <w:rsid w:val="2CAC6D87"/>
    <w:rsid w:val="2CAF613D"/>
    <w:rsid w:val="2CB600FC"/>
    <w:rsid w:val="2D026315"/>
    <w:rsid w:val="2D0764BD"/>
    <w:rsid w:val="2D0B3169"/>
    <w:rsid w:val="2D0D4219"/>
    <w:rsid w:val="2D2D2DE2"/>
    <w:rsid w:val="2D340E86"/>
    <w:rsid w:val="2D395427"/>
    <w:rsid w:val="2D3D0E02"/>
    <w:rsid w:val="2D5436FA"/>
    <w:rsid w:val="2D62469E"/>
    <w:rsid w:val="2D640CCE"/>
    <w:rsid w:val="2D6B40A9"/>
    <w:rsid w:val="2D8A3FA2"/>
    <w:rsid w:val="2D9767DC"/>
    <w:rsid w:val="2D980DDC"/>
    <w:rsid w:val="2D987372"/>
    <w:rsid w:val="2DA01941"/>
    <w:rsid w:val="2DAA2886"/>
    <w:rsid w:val="2DAF175B"/>
    <w:rsid w:val="2DC66A91"/>
    <w:rsid w:val="2DCE5F69"/>
    <w:rsid w:val="2DD846A6"/>
    <w:rsid w:val="2DDD4F0A"/>
    <w:rsid w:val="2E33753D"/>
    <w:rsid w:val="2E34792A"/>
    <w:rsid w:val="2E3B1544"/>
    <w:rsid w:val="2E437E73"/>
    <w:rsid w:val="2E5034DC"/>
    <w:rsid w:val="2E572AB9"/>
    <w:rsid w:val="2E612540"/>
    <w:rsid w:val="2E647831"/>
    <w:rsid w:val="2E7258DC"/>
    <w:rsid w:val="2E79458E"/>
    <w:rsid w:val="2E797A78"/>
    <w:rsid w:val="2E7C6A94"/>
    <w:rsid w:val="2E7F7FC6"/>
    <w:rsid w:val="2E8321A5"/>
    <w:rsid w:val="2E9F6D95"/>
    <w:rsid w:val="2EAE350B"/>
    <w:rsid w:val="2EB20A6C"/>
    <w:rsid w:val="2EBC2287"/>
    <w:rsid w:val="2EBE3DBF"/>
    <w:rsid w:val="2ECA3116"/>
    <w:rsid w:val="2EDD7896"/>
    <w:rsid w:val="2EEA6E65"/>
    <w:rsid w:val="2EEE59E8"/>
    <w:rsid w:val="2EF33C7C"/>
    <w:rsid w:val="2F00052B"/>
    <w:rsid w:val="2F0367CD"/>
    <w:rsid w:val="2F0E3804"/>
    <w:rsid w:val="2F1251F2"/>
    <w:rsid w:val="2F2D445E"/>
    <w:rsid w:val="2F4F6FBB"/>
    <w:rsid w:val="2F664E2B"/>
    <w:rsid w:val="2F6C0165"/>
    <w:rsid w:val="2F6C7BE3"/>
    <w:rsid w:val="2F783485"/>
    <w:rsid w:val="2F7F5C0B"/>
    <w:rsid w:val="2FA6492D"/>
    <w:rsid w:val="2FD71CA4"/>
    <w:rsid w:val="2FE46C5C"/>
    <w:rsid w:val="2FF93066"/>
    <w:rsid w:val="300175E0"/>
    <w:rsid w:val="300E005F"/>
    <w:rsid w:val="301307A4"/>
    <w:rsid w:val="301A71CE"/>
    <w:rsid w:val="301E049B"/>
    <w:rsid w:val="302A4BE6"/>
    <w:rsid w:val="304478EC"/>
    <w:rsid w:val="30515C8E"/>
    <w:rsid w:val="30926F91"/>
    <w:rsid w:val="30962F3E"/>
    <w:rsid w:val="30A04C41"/>
    <w:rsid w:val="30AA2585"/>
    <w:rsid w:val="30C16A19"/>
    <w:rsid w:val="30CB5800"/>
    <w:rsid w:val="30CE6622"/>
    <w:rsid w:val="30D32236"/>
    <w:rsid w:val="30FA7530"/>
    <w:rsid w:val="30FF2795"/>
    <w:rsid w:val="310375CD"/>
    <w:rsid w:val="311611B3"/>
    <w:rsid w:val="312D01AC"/>
    <w:rsid w:val="313C313D"/>
    <w:rsid w:val="314E236F"/>
    <w:rsid w:val="315E0B07"/>
    <w:rsid w:val="31621F46"/>
    <w:rsid w:val="316E7CA0"/>
    <w:rsid w:val="317206BF"/>
    <w:rsid w:val="317932EA"/>
    <w:rsid w:val="317E5000"/>
    <w:rsid w:val="318016C4"/>
    <w:rsid w:val="31875BB4"/>
    <w:rsid w:val="319B0022"/>
    <w:rsid w:val="31B30F79"/>
    <w:rsid w:val="31B718F2"/>
    <w:rsid w:val="31D20051"/>
    <w:rsid w:val="31EF7EE8"/>
    <w:rsid w:val="3201404F"/>
    <w:rsid w:val="320901F5"/>
    <w:rsid w:val="32094439"/>
    <w:rsid w:val="320B7CCB"/>
    <w:rsid w:val="32105DE8"/>
    <w:rsid w:val="3235187E"/>
    <w:rsid w:val="3237186B"/>
    <w:rsid w:val="323B6798"/>
    <w:rsid w:val="32537B57"/>
    <w:rsid w:val="32581C2F"/>
    <w:rsid w:val="325F618E"/>
    <w:rsid w:val="32757E99"/>
    <w:rsid w:val="328F5534"/>
    <w:rsid w:val="329A6ACE"/>
    <w:rsid w:val="32A145CA"/>
    <w:rsid w:val="32A230DB"/>
    <w:rsid w:val="32DF351E"/>
    <w:rsid w:val="32EE5E41"/>
    <w:rsid w:val="32F40F87"/>
    <w:rsid w:val="32F71F7A"/>
    <w:rsid w:val="32FD7C76"/>
    <w:rsid w:val="3300778C"/>
    <w:rsid w:val="330971A6"/>
    <w:rsid w:val="330C22FC"/>
    <w:rsid w:val="33365ED1"/>
    <w:rsid w:val="33366047"/>
    <w:rsid w:val="333A7A42"/>
    <w:rsid w:val="33540E5D"/>
    <w:rsid w:val="335A0521"/>
    <w:rsid w:val="335E7B11"/>
    <w:rsid w:val="3364318B"/>
    <w:rsid w:val="33691888"/>
    <w:rsid w:val="336A499A"/>
    <w:rsid w:val="33714830"/>
    <w:rsid w:val="33737F51"/>
    <w:rsid w:val="33761DDD"/>
    <w:rsid w:val="337964FF"/>
    <w:rsid w:val="337D34FB"/>
    <w:rsid w:val="33A47053"/>
    <w:rsid w:val="33B1303A"/>
    <w:rsid w:val="33BF4199"/>
    <w:rsid w:val="33CB438F"/>
    <w:rsid w:val="33D7554F"/>
    <w:rsid w:val="33FE62E7"/>
    <w:rsid w:val="34080399"/>
    <w:rsid w:val="340D25F6"/>
    <w:rsid w:val="3429226D"/>
    <w:rsid w:val="342B76C7"/>
    <w:rsid w:val="343A1527"/>
    <w:rsid w:val="34431B14"/>
    <w:rsid w:val="34447898"/>
    <w:rsid w:val="344E62FA"/>
    <w:rsid w:val="3472234D"/>
    <w:rsid w:val="347929D4"/>
    <w:rsid w:val="347D500F"/>
    <w:rsid w:val="34830157"/>
    <w:rsid w:val="34872D27"/>
    <w:rsid w:val="349164BD"/>
    <w:rsid w:val="34BD02AE"/>
    <w:rsid w:val="34C52464"/>
    <w:rsid w:val="34CD2969"/>
    <w:rsid w:val="34DA26A8"/>
    <w:rsid w:val="34E960F1"/>
    <w:rsid w:val="35042433"/>
    <w:rsid w:val="350B42D5"/>
    <w:rsid w:val="350F6258"/>
    <w:rsid w:val="351A603C"/>
    <w:rsid w:val="352821F6"/>
    <w:rsid w:val="35334788"/>
    <w:rsid w:val="3533698A"/>
    <w:rsid w:val="35387F19"/>
    <w:rsid w:val="3539550B"/>
    <w:rsid w:val="353D1F26"/>
    <w:rsid w:val="353F37E9"/>
    <w:rsid w:val="356678B4"/>
    <w:rsid w:val="3573649F"/>
    <w:rsid w:val="35754613"/>
    <w:rsid w:val="357E4B0A"/>
    <w:rsid w:val="35866D7F"/>
    <w:rsid w:val="358F6BDF"/>
    <w:rsid w:val="35A73605"/>
    <w:rsid w:val="35C06D50"/>
    <w:rsid w:val="35CD6F14"/>
    <w:rsid w:val="35D24294"/>
    <w:rsid w:val="35D71152"/>
    <w:rsid w:val="35FF6F3C"/>
    <w:rsid w:val="36075F27"/>
    <w:rsid w:val="36121506"/>
    <w:rsid w:val="361D7A43"/>
    <w:rsid w:val="361F3323"/>
    <w:rsid w:val="36402EFA"/>
    <w:rsid w:val="36496A51"/>
    <w:rsid w:val="365623F6"/>
    <w:rsid w:val="368230C6"/>
    <w:rsid w:val="368F7E4F"/>
    <w:rsid w:val="36985297"/>
    <w:rsid w:val="369F633B"/>
    <w:rsid w:val="36A30FDB"/>
    <w:rsid w:val="36A7007C"/>
    <w:rsid w:val="36AE36A5"/>
    <w:rsid w:val="36B24AE8"/>
    <w:rsid w:val="36BD0DC4"/>
    <w:rsid w:val="36D51D00"/>
    <w:rsid w:val="36D66B5E"/>
    <w:rsid w:val="36DF10C3"/>
    <w:rsid w:val="36E93760"/>
    <w:rsid w:val="36FB4305"/>
    <w:rsid w:val="3708597F"/>
    <w:rsid w:val="37096815"/>
    <w:rsid w:val="370F7060"/>
    <w:rsid w:val="37134801"/>
    <w:rsid w:val="37173233"/>
    <w:rsid w:val="371C344E"/>
    <w:rsid w:val="37226558"/>
    <w:rsid w:val="3734159D"/>
    <w:rsid w:val="37382526"/>
    <w:rsid w:val="373B4C89"/>
    <w:rsid w:val="374B7114"/>
    <w:rsid w:val="37503E6C"/>
    <w:rsid w:val="37527EAF"/>
    <w:rsid w:val="37533D7C"/>
    <w:rsid w:val="3758590A"/>
    <w:rsid w:val="37602E60"/>
    <w:rsid w:val="378229A7"/>
    <w:rsid w:val="3784394E"/>
    <w:rsid w:val="37987437"/>
    <w:rsid w:val="379F33FC"/>
    <w:rsid w:val="37A432E4"/>
    <w:rsid w:val="37A86196"/>
    <w:rsid w:val="37C94031"/>
    <w:rsid w:val="37CA042E"/>
    <w:rsid w:val="37D44549"/>
    <w:rsid w:val="37D77B09"/>
    <w:rsid w:val="37D97EDE"/>
    <w:rsid w:val="37F17AC7"/>
    <w:rsid w:val="380D02B1"/>
    <w:rsid w:val="38125155"/>
    <w:rsid w:val="382B1BDF"/>
    <w:rsid w:val="382E392C"/>
    <w:rsid w:val="38342E90"/>
    <w:rsid w:val="384B7332"/>
    <w:rsid w:val="385056AF"/>
    <w:rsid w:val="386A7142"/>
    <w:rsid w:val="38706DCB"/>
    <w:rsid w:val="38893276"/>
    <w:rsid w:val="388E5848"/>
    <w:rsid w:val="38BD31EE"/>
    <w:rsid w:val="38CB3BDF"/>
    <w:rsid w:val="38D33D29"/>
    <w:rsid w:val="38D41CCF"/>
    <w:rsid w:val="38E40A5B"/>
    <w:rsid w:val="38F16A28"/>
    <w:rsid w:val="391A3359"/>
    <w:rsid w:val="392201DA"/>
    <w:rsid w:val="39285D57"/>
    <w:rsid w:val="394B6470"/>
    <w:rsid w:val="3984714D"/>
    <w:rsid w:val="39872512"/>
    <w:rsid w:val="39A602F9"/>
    <w:rsid w:val="39BD45C8"/>
    <w:rsid w:val="39C2316A"/>
    <w:rsid w:val="39F36281"/>
    <w:rsid w:val="39FD376D"/>
    <w:rsid w:val="39FD6C9C"/>
    <w:rsid w:val="3A0224B9"/>
    <w:rsid w:val="3A16728B"/>
    <w:rsid w:val="3A16794C"/>
    <w:rsid w:val="3A1F6809"/>
    <w:rsid w:val="3A226969"/>
    <w:rsid w:val="3A3F47CE"/>
    <w:rsid w:val="3A4E1C5D"/>
    <w:rsid w:val="3A523735"/>
    <w:rsid w:val="3A542E6C"/>
    <w:rsid w:val="3A557AE4"/>
    <w:rsid w:val="3A6311E4"/>
    <w:rsid w:val="3A6B0F84"/>
    <w:rsid w:val="3A727435"/>
    <w:rsid w:val="3A94055A"/>
    <w:rsid w:val="3A9E29EC"/>
    <w:rsid w:val="3AB00167"/>
    <w:rsid w:val="3AC17E3A"/>
    <w:rsid w:val="3ACB5746"/>
    <w:rsid w:val="3ADD2B05"/>
    <w:rsid w:val="3AE417E3"/>
    <w:rsid w:val="3AE440AF"/>
    <w:rsid w:val="3AEE5389"/>
    <w:rsid w:val="3AF7667E"/>
    <w:rsid w:val="3B113F51"/>
    <w:rsid w:val="3B2D3716"/>
    <w:rsid w:val="3B307112"/>
    <w:rsid w:val="3B3E5BDD"/>
    <w:rsid w:val="3B5A2A22"/>
    <w:rsid w:val="3B7804A3"/>
    <w:rsid w:val="3B8E2153"/>
    <w:rsid w:val="3B9B2072"/>
    <w:rsid w:val="3BA03B83"/>
    <w:rsid w:val="3BB20883"/>
    <w:rsid w:val="3BC34E75"/>
    <w:rsid w:val="3BCB270F"/>
    <w:rsid w:val="3BD96AA6"/>
    <w:rsid w:val="3BDE29E8"/>
    <w:rsid w:val="3BED002E"/>
    <w:rsid w:val="3C0429BF"/>
    <w:rsid w:val="3C1A201A"/>
    <w:rsid w:val="3C371D4B"/>
    <w:rsid w:val="3C3B4B9D"/>
    <w:rsid w:val="3C413C82"/>
    <w:rsid w:val="3C471C36"/>
    <w:rsid w:val="3C4B0140"/>
    <w:rsid w:val="3C4D66ED"/>
    <w:rsid w:val="3C5A6B66"/>
    <w:rsid w:val="3C734413"/>
    <w:rsid w:val="3C936809"/>
    <w:rsid w:val="3C982C18"/>
    <w:rsid w:val="3CA734F8"/>
    <w:rsid w:val="3CA95F71"/>
    <w:rsid w:val="3CBF27A7"/>
    <w:rsid w:val="3CC45AAA"/>
    <w:rsid w:val="3CC74223"/>
    <w:rsid w:val="3CC828D0"/>
    <w:rsid w:val="3CDB5F96"/>
    <w:rsid w:val="3CE23F49"/>
    <w:rsid w:val="3CEC39B8"/>
    <w:rsid w:val="3CF720E3"/>
    <w:rsid w:val="3CF72D6A"/>
    <w:rsid w:val="3CF77478"/>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BE3D6E"/>
    <w:rsid w:val="3DC61625"/>
    <w:rsid w:val="3DDB3917"/>
    <w:rsid w:val="3DE72AAC"/>
    <w:rsid w:val="3DED0F96"/>
    <w:rsid w:val="3DF95812"/>
    <w:rsid w:val="3E16075B"/>
    <w:rsid w:val="3E1D4B24"/>
    <w:rsid w:val="3E3A04FA"/>
    <w:rsid w:val="3E3D6B96"/>
    <w:rsid w:val="3E441C7D"/>
    <w:rsid w:val="3E490256"/>
    <w:rsid w:val="3E55739E"/>
    <w:rsid w:val="3E5B44AD"/>
    <w:rsid w:val="3E5B7F83"/>
    <w:rsid w:val="3E602545"/>
    <w:rsid w:val="3E6C43C8"/>
    <w:rsid w:val="3E7E69A2"/>
    <w:rsid w:val="3E8227F0"/>
    <w:rsid w:val="3E9B4B40"/>
    <w:rsid w:val="3EAB298B"/>
    <w:rsid w:val="3EB71AC8"/>
    <w:rsid w:val="3EC01F38"/>
    <w:rsid w:val="3EC85E34"/>
    <w:rsid w:val="3ECF2AAC"/>
    <w:rsid w:val="3ED0424C"/>
    <w:rsid w:val="3EEE790A"/>
    <w:rsid w:val="3EF31E7F"/>
    <w:rsid w:val="3EF36DF0"/>
    <w:rsid w:val="3F024BE2"/>
    <w:rsid w:val="3F053EF6"/>
    <w:rsid w:val="3F093188"/>
    <w:rsid w:val="3F173F6B"/>
    <w:rsid w:val="3F1E1DE8"/>
    <w:rsid w:val="3F253B0C"/>
    <w:rsid w:val="3F292552"/>
    <w:rsid w:val="3F2C04C4"/>
    <w:rsid w:val="3F3756B7"/>
    <w:rsid w:val="3F3E7C9F"/>
    <w:rsid w:val="3F416B99"/>
    <w:rsid w:val="3F4F5AD7"/>
    <w:rsid w:val="3F643908"/>
    <w:rsid w:val="3F6B75A6"/>
    <w:rsid w:val="3F8C0A49"/>
    <w:rsid w:val="3F8E7DCD"/>
    <w:rsid w:val="3F913853"/>
    <w:rsid w:val="3F9660C3"/>
    <w:rsid w:val="3FA827ED"/>
    <w:rsid w:val="3FB45C58"/>
    <w:rsid w:val="3FB5653B"/>
    <w:rsid w:val="3FC36557"/>
    <w:rsid w:val="3FC956FF"/>
    <w:rsid w:val="3FCB5740"/>
    <w:rsid w:val="3FD13F50"/>
    <w:rsid w:val="3FDC5F31"/>
    <w:rsid w:val="3FE04625"/>
    <w:rsid w:val="3FE80AD5"/>
    <w:rsid w:val="3FE86CE8"/>
    <w:rsid w:val="3FFB0F66"/>
    <w:rsid w:val="40075FB8"/>
    <w:rsid w:val="40146E6B"/>
    <w:rsid w:val="4030171E"/>
    <w:rsid w:val="403052F1"/>
    <w:rsid w:val="40330D29"/>
    <w:rsid w:val="404469FD"/>
    <w:rsid w:val="40455251"/>
    <w:rsid w:val="404A2717"/>
    <w:rsid w:val="404E779F"/>
    <w:rsid w:val="4059090D"/>
    <w:rsid w:val="4065170A"/>
    <w:rsid w:val="406E5CAB"/>
    <w:rsid w:val="40713C35"/>
    <w:rsid w:val="4081246A"/>
    <w:rsid w:val="408376F8"/>
    <w:rsid w:val="408559EB"/>
    <w:rsid w:val="40A25054"/>
    <w:rsid w:val="40A325E0"/>
    <w:rsid w:val="40A77746"/>
    <w:rsid w:val="40AF794D"/>
    <w:rsid w:val="40B7228C"/>
    <w:rsid w:val="40B86192"/>
    <w:rsid w:val="40BD0DA1"/>
    <w:rsid w:val="40EC7D18"/>
    <w:rsid w:val="40ED11A0"/>
    <w:rsid w:val="40FD1BF0"/>
    <w:rsid w:val="41096BC0"/>
    <w:rsid w:val="410A75B6"/>
    <w:rsid w:val="410B452A"/>
    <w:rsid w:val="41146D26"/>
    <w:rsid w:val="413353F1"/>
    <w:rsid w:val="41513BC9"/>
    <w:rsid w:val="416C0B49"/>
    <w:rsid w:val="41704A36"/>
    <w:rsid w:val="41735B7F"/>
    <w:rsid w:val="41811956"/>
    <w:rsid w:val="419E60D3"/>
    <w:rsid w:val="41A36C7E"/>
    <w:rsid w:val="41D75714"/>
    <w:rsid w:val="41D95493"/>
    <w:rsid w:val="41DD3BC3"/>
    <w:rsid w:val="41EE2F03"/>
    <w:rsid w:val="41F466FD"/>
    <w:rsid w:val="41FB2C46"/>
    <w:rsid w:val="42002BC7"/>
    <w:rsid w:val="42026B03"/>
    <w:rsid w:val="42083ABD"/>
    <w:rsid w:val="420D197F"/>
    <w:rsid w:val="42187EBE"/>
    <w:rsid w:val="4222251C"/>
    <w:rsid w:val="42273D8C"/>
    <w:rsid w:val="4227435A"/>
    <w:rsid w:val="42442FDA"/>
    <w:rsid w:val="42490367"/>
    <w:rsid w:val="424B5824"/>
    <w:rsid w:val="4258742E"/>
    <w:rsid w:val="42616DD3"/>
    <w:rsid w:val="426973AD"/>
    <w:rsid w:val="426F56CA"/>
    <w:rsid w:val="427A67A1"/>
    <w:rsid w:val="427E0B36"/>
    <w:rsid w:val="42A03D98"/>
    <w:rsid w:val="42A729F1"/>
    <w:rsid w:val="42B81B21"/>
    <w:rsid w:val="42B94BC1"/>
    <w:rsid w:val="42C30254"/>
    <w:rsid w:val="42C42A08"/>
    <w:rsid w:val="42D064B1"/>
    <w:rsid w:val="42D41F6D"/>
    <w:rsid w:val="42DA5F11"/>
    <w:rsid w:val="42DE48A3"/>
    <w:rsid w:val="42E16058"/>
    <w:rsid w:val="42F17BF5"/>
    <w:rsid w:val="42F87EC9"/>
    <w:rsid w:val="42FA45BF"/>
    <w:rsid w:val="430E7E66"/>
    <w:rsid w:val="4332317A"/>
    <w:rsid w:val="433246A0"/>
    <w:rsid w:val="433F6B54"/>
    <w:rsid w:val="4346543A"/>
    <w:rsid w:val="435B1259"/>
    <w:rsid w:val="436263D5"/>
    <w:rsid w:val="437556C4"/>
    <w:rsid w:val="43874CD4"/>
    <w:rsid w:val="43880089"/>
    <w:rsid w:val="439B699F"/>
    <w:rsid w:val="43A509DC"/>
    <w:rsid w:val="43AF2D32"/>
    <w:rsid w:val="43B76E4F"/>
    <w:rsid w:val="43B927A3"/>
    <w:rsid w:val="43CB51EC"/>
    <w:rsid w:val="43CF0206"/>
    <w:rsid w:val="43D85D6D"/>
    <w:rsid w:val="43EC6F1F"/>
    <w:rsid w:val="43FD397F"/>
    <w:rsid w:val="43FE44BA"/>
    <w:rsid w:val="440D5045"/>
    <w:rsid w:val="440E7708"/>
    <w:rsid w:val="44300615"/>
    <w:rsid w:val="443026FB"/>
    <w:rsid w:val="44371929"/>
    <w:rsid w:val="443740AF"/>
    <w:rsid w:val="44480935"/>
    <w:rsid w:val="444851FA"/>
    <w:rsid w:val="445E4DEE"/>
    <w:rsid w:val="44640994"/>
    <w:rsid w:val="446B0434"/>
    <w:rsid w:val="44756A66"/>
    <w:rsid w:val="447E4EBE"/>
    <w:rsid w:val="447F0CBA"/>
    <w:rsid w:val="44957F46"/>
    <w:rsid w:val="44994CF5"/>
    <w:rsid w:val="44BD6203"/>
    <w:rsid w:val="44CB6BCB"/>
    <w:rsid w:val="44D2280A"/>
    <w:rsid w:val="44DC46EB"/>
    <w:rsid w:val="44EA6491"/>
    <w:rsid w:val="44F03F8F"/>
    <w:rsid w:val="44F14ECF"/>
    <w:rsid w:val="45275172"/>
    <w:rsid w:val="45332511"/>
    <w:rsid w:val="45412C46"/>
    <w:rsid w:val="45514AD5"/>
    <w:rsid w:val="4552412E"/>
    <w:rsid w:val="455908C0"/>
    <w:rsid w:val="45596087"/>
    <w:rsid w:val="45743BE6"/>
    <w:rsid w:val="45761EDD"/>
    <w:rsid w:val="457978D7"/>
    <w:rsid w:val="457A7286"/>
    <w:rsid w:val="457B06AA"/>
    <w:rsid w:val="457C7D39"/>
    <w:rsid w:val="458667C4"/>
    <w:rsid w:val="458F5163"/>
    <w:rsid w:val="459C5A47"/>
    <w:rsid w:val="45A30BF7"/>
    <w:rsid w:val="45A82F38"/>
    <w:rsid w:val="45B047D1"/>
    <w:rsid w:val="45B11AF4"/>
    <w:rsid w:val="45BE6191"/>
    <w:rsid w:val="45BE648C"/>
    <w:rsid w:val="45C661BC"/>
    <w:rsid w:val="45CD2126"/>
    <w:rsid w:val="45DD738A"/>
    <w:rsid w:val="45E372CD"/>
    <w:rsid w:val="45F90C56"/>
    <w:rsid w:val="460C5979"/>
    <w:rsid w:val="46110AB3"/>
    <w:rsid w:val="46143B66"/>
    <w:rsid w:val="4615371C"/>
    <w:rsid w:val="46214325"/>
    <w:rsid w:val="4627380C"/>
    <w:rsid w:val="463246EC"/>
    <w:rsid w:val="463425D3"/>
    <w:rsid w:val="46394DBE"/>
    <w:rsid w:val="463A3547"/>
    <w:rsid w:val="46555DC3"/>
    <w:rsid w:val="46617DB2"/>
    <w:rsid w:val="46621065"/>
    <w:rsid w:val="46665198"/>
    <w:rsid w:val="46697236"/>
    <w:rsid w:val="46770F8B"/>
    <w:rsid w:val="467A765B"/>
    <w:rsid w:val="467C16FA"/>
    <w:rsid w:val="46894B18"/>
    <w:rsid w:val="469448C6"/>
    <w:rsid w:val="46AB0067"/>
    <w:rsid w:val="46B80AF8"/>
    <w:rsid w:val="46BB6047"/>
    <w:rsid w:val="46D37F0B"/>
    <w:rsid w:val="46D71533"/>
    <w:rsid w:val="46E53335"/>
    <w:rsid w:val="47155D89"/>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132B95"/>
    <w:rsid w:val="481906BD"/>
    <w:rsid w:val="48256B1B"/>
    <w:rsid w:val="48282713"/>
    <w:rsid w:val="484045DE"/>
    <w:rsid w:val="484417FA"/>
    <w:rsid w:val="48450ECE"/>
    <w:rsid w:val="484759CD"/>
    <w:rsid w:val="484B14EC"/>
    <w:rsid w:val="48526E5D"/>
    <w:rsid w:val="48602710"/>
    <w:rsid w:val="48713351"/>
    <w:rsid w:val="48802846"/>
    <w:rsid w:val="488260F9"/>
    <w:rsid w:val="48850157"/>
    <w:rsid w:val="4885586E"/>
    <w:rsid w:val="48A736CF"/>
    <w:rsid w:val="48B116EA"/>
    <w:rsid w:val="48B74C7A"/>
    <w:rsid w:val="48BE32BF"/>
    <w:rsid w:val="48C354EC"/>
    <w:rsid w:val="48C84665"/>
    <w:rsid w:val="48D429DD"/>
    <w:rsid w:val="48E01C77"/>
    <w:rsid w:val="48E22285"/>
    <w:rsid w:val="48E50D90"/>
    <w:rsid w:val="48EB0D16"/>
    <w:rsid w:val="48EC3B76"/>
    <w:rsid w:val="48FA15CC"/>
    <w:rsid w:val="491753B9"/>
    <w:rsid w:val="491B63DF"/>
    <w:rsid w:val="491D63E9"/>
    <w:rsid w:val="4921285A"/>
    <w:rsid w:val="4932285C"/>
    <w:rsid w:val="493D29CD"/>
    <w:rsid w:val="493E2F78"/>
    <w:rsid w:val="49502D49"/>
    <w:rsid w:val="495217DF"/>
    <w:rsid w:val="4958367A"/>
    <w:rsid w:val="498A16CD"/>
    <w:rsid w:val="49A33C27"/>
    <w:rsid w:val="49A750B5"/>
    <w:rsid w:val="49BE07DA"/>
    <w:rsid w:val="49C84AA0"/>
    <w:rsid w:val="49D7694D"/>
    <w:rsid w:val="4A0244D3"/>
    <w:rsid w:val="4A11339C"/>
    <w:rsid w:val="4A22585B"/>
    <w:rsid w:val="4A255046"/>
    <w:rsid w:val="4A2E1525"/>
    <w:rsid w:val="4A3B54A1"/>
    <w:rsid w:val="4A5A756D"/>
    <w:rsid w:val="4A6E201E"/>
    <w:rsid w:val="4A785772"/>
    <w:rsid w:val="4A842E43"/>
    <w:rsid w:val="4A89105B"/>
    <w:rsid w:val="4AA341CC"/>
    <w:rsid w:val="4AC13295"/>
    <w:rsid w:val="4AC31003"/>
    <w:rsid w:val="4AC40F4C"/>
    <w:rsid w:val="4AD25F33"/>
    <w:rsid w:val="4AD5495A"/>
    <w:rsid w:val="4ADD641F"/>
    <w:rsid w:val="4AE072CB"/>
    <w:rsid w:val="4AE93159"/>
    <w:rsid w:val="4AF02EA1"/>
    <w:rsid w:val="4B174032"/>
    <w:rsid w:val="4B250CF8"/>
    <w:rsid w:val="4B2873FD"/>
    <w:rsid w:val="4B3D4DE9"/>
    <w:rsid w:val="4B7C4100"/>
    <w:rsid w:val="4B830F9B"/>
    <w:rsid w:val="4B8F2DD0"/>
    <w:rsid w:val="4B9B06E8"/>
    <w:rsid w:val="4B9B0C47"/>
    <w:rsid w:val="4B9D4011"/>
    <w:rsid w:val="4B9D7340"/>
    <w:rsid w:val="4BB36BDD"/>
    <w:rsid w:val="4BB60507"/>
    <w:rsid w:val="4BC32290"/>
    <w:rsid w:val="4BD0339A"/>
    <w:rsid w:val="4BF32495"/>
    <w:rsid w:val="4BFA3FA2"/>
    <w:rsid w:val="4C2910DF"/>
    <w:rsid w:val="4C2B4DDD"/>
    <w:rsid w:val="4C4C0696"/>
    <w:rsid w:val="4C562920"/>
    <w:rsid w:val="4C5D1F92"/>
    <w:rsid w:val="4C603F16"/>
    <w:rsid w:val="4C6262E0"/>
    <w:rsid w:val="4C6703A3"/>
    <w:rsid w:val="4C6D7518"/>
    <w:rsid w:val="4C923A72"/>
    <w:rsid w:val="4C9A40E1"/>
    <w:rsid w:val="4CB96B0F"/>
    <w:rsid w:val="4CBC0F04"/>
    <w:rsid w:val="4CD44F7A"/>
    <w:rsid w:val="4CE34E9F"/>
    <w:rsid w:val="4CED553A"/>
    <w:rsid w:val="4CF52D94"/>
    <w:rsid w:val="4CFB74E9"/>
    <w:rsid w:val="4D292036"/>
    <w:rsid w:val="4D462159"/>
    <w:rsid w:val="4D485EE7"/>
    <w:rsid w:val="4D4D5E00"/>
    <w:rsid w:val="4D566017"/>
    <w:rsid w:val="4D6022FC"/>
    <w:rsid w:val="4D7D3EFB"/>
    <w:rsid w:val="4D8B0123"/>
    <w:rsid w:val="4DAF14C5"/>
    <w:rsid w:val="4DB9067A"/>
    <w:rsid w:val="4DC34FF7"/>
    <w:rsid w:val="4DC605B6"/>
    <w:rsid w:val="4DD732D2"/>
    <w:rsid w:val="4DEC0985"/>
    <w:rsid w:val="4E0538A3"/>
    <w:rsid w:val="4E0E6818"/>
    <w:rsid w:val="4E1D5943"/>
    <w:rsid w:val="4E27683A"/>
    <w:rsid w:val="4E3F2E7B"/>
    <w:rsid w:val="4E493AA9"/>
    <w:rsid w:val="4E4C50A3"/>
    <w:rsid w:val="4E510698"/>
    <w:rsid w:val="4E576363"/>
    <w:rsid w:val="4E5C5D66"/>
    <w:rsid w:val="4E5D49B1"/>
    <w:rsid w:val="4E5E3FCB"/>
    <w:rsid w:val="4E635567"/>
    <w:rsid w:val="4E674786"/>
    <w:rsid w:val="4E742982"/>
    <w:rsid w:val="4E862481"/>
    <w:rsid w:val="4E9C0636"/>
    <w:rsid w:val="4EA30DB6"/>
    <w:rsid w:val="4EA7341F"/>
    <w:rsid w:val="4EB87929"/>
    <w:rsid w:val="4ECB1703"/>
    <w:rsid w:val="4EDB58B2"/>
    <w:rsid w:val="4EE925CE"/>
    <w:rsid w:val="4EEB1A94"/>
    <w:rsid w:val="4EEB3B5A"/>
    <w:rsid w:val="4EEF2E30"/>
    <w:rsid w:val="4EF24828"/>
    <w:rsid w:val="4EFE7F59"/>
    <w:rsid w:val="4F285975"/>
    <w:rsid w:val="4F2A7BF3"/>
    <w:rsid w:val="4F2E2624"/>
    <w:rsid w:val="4F4E1077"/>
    <w:rsid w:val="4F546156"/>
    <w:rsid w:val="4F844A99"/>
    <w:rsid w:val="4F94662C"/>
    <w:rsid w:val="4F9E5893"/>
    <w:rsid w:val="4FB00163"/>
    <w:rsid w:val="4FB208E7"/>
    <w:rsid w:val="4FCB2E2B"/>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636072"/>
    <w:rsid w:val="507E1B25"/>
    <w:rsid w:val="50854381"/>
    <w:rsid w:val="508E3B94"/>
    <w:rsid w:val="508E4492"/>
    <w:rsid w:val="5090223F"/>
    <w:rsid w:val="50924591"/>
    <w:rsid w:val="509C1DF7"/>
    <w:rsid w:val="50A45F51"/>
    <w:rsid w:val="50A649F5"/>
    <w:rsid w:val="50AB5EB6"/>
    <w:rsid w:val="50B16618"/>
    <w:rsid w:val="50BB6306"/>
    <w:rsid w:val="50DB5EFC"/>
    <w:rsid w:val="50ED0D90"/>
    <w:rsid w:val="50F66F3D"/>
    <w:rsid w:val="50F8688B"/>
    <w:rsid w:val="50FC4E36"/>
    <w:rsid w:val="51042E14"/>
    <w:rsid w:val="5105169B"/>
    <w:rsid w:val="51062881"/>
    <w:rsid w:val="510861B3"/>
    <w:rsid w:val="510956BD"/>
    <w:rsid w:val="51230220"/>
    <w:rsid w:val="51294C9F"/>
    <w:rsid w:val="512A1091"/>
    <w:rsid w:val="51471753"/>
    <w:rsid w:val="514D0EEE"/>
    <w:rsid w:val="514E4912"/>
    <w:rsid w:val="515400FF"/>
    <w:rsid w:val="515D735D"/>
    <w:rsid w:val="515E0776"/>
    <w:rsid w:val="51781A83"/>
    <w:rsid w:val="51802B24"/>
    <w:rsid w:val="51867298"/>
    <w:rsid w:val="51894D69"/>
    <w:rsid w:val="518D21E1"/>
    <w:rsid w:val="51930297"/>
    <w:rsid w:val="51953936"/>
    <w:rsid w:val="519E116A"/>
    <w:rsid w:val="51A2793A"/>
    <w:rsid w:val="51BA0CB7"/>
    <w:rsid w:val="51D129CA"/>
    <w:rsid w:val="51D93F8A"/>
    <w:rsid w:val="51D97895"/>
    <w:rsid w:val="51E5046A"/>
    <w:rsid w:val="51F07F18"/>
    <w:rsid w:val="521B528A"/>
    <w:rsid w:val="52272B85"/>
    <w:rsid w:val="523E09B5"/>
    <w:rsid w:val="52687B2A"/>
    <w:rsid w:val="526E0E82"/>
    <w:rsid w:val="527901C6"/>
    <w:rsid w:val="52944BB6"/>
    <w:rsid w:val="52A24532"/>
    <w:rsid w:val="52A32C1E"/>
    <w:rsid w:val="52B3363A"/>
    <w:rsid w:val="52BE142D"/>
    <w:rsid w:val="52C4763C"/>
    <w:rsid w:val="52DE691D"/>
    <w:rsid w:val="52E04D27"/>
    <w:rsid w:val="52E663EC"/>
    <w:rsid w:val="52ED0C96"/>
    <w:rsid w:val="53061721"/>
    <w:rsid w:val="530C0E6B"/>
    <w:rsid w:val="532F77EA"/>
    <w:rsid w:val="533933AA"/>
    <w:rsid w:val="533B7F54"/>
    <w:rsid w:val="535009E1"/>
    <w:rsid w:val="53650168"/>
    <w:rsid w:val="536C2A29"/>
    <w:rsid w:val="538000AE"/>
    <w:rsid w:val="538859E4"/>
    <w:rsid w:val="538E3092"/>
    <w:rsid w:val="539C4192"/>
    <w:rsid w:val="53A20FFA"/>
    <w:rsid w:val="53A233E4"/>
    <w:rsid w:val="53A94C48"/>
    <w:rsid w:val="53AA7BC7"/>
    <w:rsid w:val="53AE5EA5"/>
    <w:rsid w:val="53B00B1F"/>
    <w:rsid w:val="53B2409D"/>
    <w:rsid w:val="53B812E9"/>
    <w:rsid w:val="53D6247A"/>
    <w:rsid w:val="53DB3477"/>
    <w:rsid w:val="53DE00FF"/>
    <w:rsid w:val="53E77CBF"/>
    <w:rsid w:val="53F335FC"/>
    <w:rsid w:val="53F41E36"/>
    <w:rsid w:val="53FE7128"/>
    <w:rsid w:val="54057B3F"/>
    <w:rsid w:val="541B66A7"/>
    <w:rsid w:val="54201800"/>
    <w:rsid w:val="54247F22"/>
    <w:rsid w:val="542C29CD"/>
    <w:rsid w:val="542F1551"/>
    <w:rsid w:val="54336360"/>
    <w:rsid w:val="54381756"/>
    <w:rsid w:val="543877EC"/>
    <w:rsid w:val="545365FB"/>
    <w:rsid w:val="545750B7"/>
    <w:rsid w:val="545A1EBF"/>
    <w:rsid w:val="545B2A08"/>
    <w:rsid w:val="5460564E"/>
    <w:rsid w:val="54727478"/>
    <w:rsid w:val="5490489E"/>
    <w:rsid w:val="54B06F11"/>
    <w:rsid w:val="54B56DF4"/>
    <w:rsid w:val="54B93943"/>
    <w:rsid w:val="54BE5578"/>
    <w:rsid w:val="54BF52B5"/>
    <w:rsid w:val="54D202CA"/>
    <w:rsid w:val="54D36542"/>
    <w:rsid w:val="54D54E59"/>
    <w:rsid w:val="54DD41DB"/>
    <w:rsid w:val="54ED3D78"/>
    <w:rsid w:val="54F52BA3"/>
    <w:rsid w:val="54F54E04"/>
    <w:rsid w:val="550B4121"/>
    <w:rsid w:val="550D5CFC"/>
    <w:rsid w:val="55126CC5"/>
    <w:rsid w:val="55197997"/>
    <w:rsid w:val="552A6B56"/>
    <w:rsid w:val="5532385A"/>
    <w:rsid w:val="55381D42"/>
    <w:rsid w:val="553B219B"/>
    <w:rsid w:val="55401B14"/>
    <w:rsid w:val="554748F2"/>
    <w:rsid w:val="554C746B"/>
    <w:rsid w:val="554D414C"/>
    <w:rsid w:val="554E7279"/>
    <w:rsid w:val="55594FFB"/>
    <w:rsid w:val="55637CEB"/>
    <w:rsid w:val="55677DDA"/>
    <w:rsid w:val="55690C86"/>
    <w:rsid w:val="55757FB9"/>
    <w:rsid w:val="55884237"/>
    <w:rsid w:val="558C7FAA"/>
    <w:rsid w:val="55900510"/>
    <w:rsid w:val="55947881"/>
    <w:rsid w:val="55A25EB7"/>
    <w:rsid w:val="55A82784"/>
    <w:rsid w:val="55A97512"/>
    <w:rsid w:val="55B63FD5"/>
    <w:rsid w:val="55C35A76"/>
    <w:rsid w:val="55D40743"/>
    <w:rsid w:val="55DD6F2A"/>
    <w:rsid w:val="55E5700C"/>
    <w:rsid w:val="55E73480"/>
    <w:rsid w:val="55E8339E"/>
    <w:rsid w:val="55F06771"/>
    <w:rsid w:val="55F84B33"/>
    <w:rsid w:val="560D5F48"/>
    <w:rsid w:val="56106284"/>
    <w:rsid w:val="562A5EBF"/>
    <w:rsid w:val="5632642A"/>
    <w:rsid w:val="56375B61"/>
    <w:rsid w:val="564944F4"/>
    <w:rsid w:val="564E5820"/>
    <w:rsid w:val="56630C00"/>
    <w:rsid w:val="56647615"/>
    <w:rsid w:val="566758B2"/>
    <w:rsid w:val="567739D2"/>
    <w:rsid w:val="56775A0A"/>
    <w:rsid w:val="5686536D"/>
    <w:rsid w:val="568B1DB1"/>
    <w:rsid w:val="569359CA"/>
    <w:rsid w:val="56A55214"/>
    <w:rsid w:val="56A67978"/>
    <w:rsid w:val="56AC63C5"/>
    <w:rsid w:val="56C1700B"/>
    <w:rsid w:val="56D25618"/>
    <w:rsid w:val="56D7644B"/>
    <w:rsid w:val="56E84A97"/>
    <w:rsid w:val="56FB2A68"/>
    <w:rsid w:val="57011F3E"/>
    <w:rsid w:val="5705646B"/>
    <w:rsid w:val="57060649"/>
    <w:rsid w:val="57082256"/>
    <w:rsid w:val="572657E3"/>
    <w:rsid w:val="5732705F"/>
    <w:rsid w:val="57351D6F"/>
    <w:rsid w:val="5748535B"/>
    <w:rsid w:val="576476C1"/>
    <w:rsid w:val="57770501"/>
    <w:rsid w:val="577B3337"/>
    <w:rsid w:val="57A33734"/>
    <w:rsid w:val="57A80692"/>
    <w:rsid w:val="57AB6ADD"/>
    <w:rsid w:val="57B7178E"/>
    <w:rsid w:val="57BD72A7"/>
    <w:rsid w:val="57BE5838"/>
    <w:rsid w:val="57D4248D"/>
    <w:rsid w:val="57D82354"/>
    <w:rsid w:val="57FC07D9"/>
    <w:rsid w:val="57FF6992"/>
    <w:rsid w:val="580F1B21"/>
    <w:rsid w:val="581B7E79"/>
    <w:rsid w:val="5848196B"/>
    <w:rsid w:val="58500F22"/>
    <w:rsid w:val="58587379"/>
    <w:rsid w:val="586D57A3"/>
    <w:rsid w:val="587917A0"/>
    <w:rsid w:val="587A4288"/>
    <w:rsid w:val="5880052B"/>
    <w:rsid w:val="58AD27D9"/>
    <w:rsid w:val="58AF19C1"/>
    <w:rsid w:val="58B169A2"/>
    <w:rsid w:val="58B9636C"/>
    <w:rsid w:val="58C37133"/>
    <w:rsid w:val="58C93046"/>
    <w:rsid w:val="58D36BCB"/>
    <w:rsid w:val="58E6349C"/>
    <w:rsid w:val="58EF63EE"/>
    <w:rsid w:val="58FE222B"/>
    <w:rsid w:val="590317F0"/>
    <w:rsid w:val="59075000"/>
    <w:rsid w:val="590D1877"/>
    <w:rsid w:val="593559FD"/>
    <w:rsid w:val="594079B2"/>
    <w:rsid w:val="5987482A"/>
    <w:rsid w:val="598C6F19"/>
    <w:rsid w:val="599C49A8"/>
    <w:rsid w:val="59A36725"/>
    <w:rsid w:val="59AF5911"/>
    <w:rsid w:val="59B21BF9"/>
    <w:rsid w:val="59B6602B"/>
    <w:rsid w:val="59BB4EA3"/>
    <w:rsid w:val="59D6595D"/>
    <w:rsid w:val="59E9525B"/>
    <w:rsid w:val="59F70BAF"/>
    <w:rsid w:val="5A297D0D"/>
    <w:rsid w:val="5A2E4B89"/>
    <w:rsid w:val="5A3C0F08"/>
    <w:rsid w:val="5A3E5B83"/>
    <w:rsid w:val="5A5663A3"/>
    <w:rsid w:val="5A571746"/>
    <w:rsid w:val="5A6071F3"/>
    <w:rsid w:val="5A6253E3"/>
    <w:rsid w:val="5A8E6670"/>
    <w:rsid w:val="5A912613"/>
    <w:rsid w:val="5A9245E9"/>
    <w:rsid w:val="5A953D41"/>
    <w:rsid w:val="5ABC50F4"/>
    <w:rsid w:val="5ABF0A7A"/>
    <w:rsid w:val="5ACC4940"/>
    <w:rsid w:val="5AD86A6D"/>
    <w:rsid w:val="5AEC14F6"/>
    <w:rsid w:val="5AF124A4"/>
    <w:rsid w:val="5B141085"/>
    <w:rsid w:val="5B28192B"/>
    <w:rsid w:val="5B2C21E1"/>
    <w:rsid w:val="5B4007EF"/>
    <w:rsid w:val="5B4D1F7C"/>
    <w:rsid w:val="5B5A3A78"/>
    <w:rsid w:val="5B66707B"/>
    <w:rsid w:val="5B673066"/>
    <w:rsid w:val="5B6A48A8"/>
    <w:rsid w:val="5B785E83"/>
    <w:rsid w:val="5B7C1CD1"/>
    <w:rsid w:val="5B8702BD"/>
    <w:rsid w:val="5B9251EF"/>
    <w:rsid w:val="5BAB5BC4"/>
    <w:rsid w:val="5BB20B74"/>
    <w:rsid w:val="5BC677D8"/>
    <w:rsid w:val="5BC8586D"/>
    <w:rsid w:val="5BCF68F8"/>
    <w:rsid w:val="5BEB0120"/>
    <w:rsid w:val="5BEC175C"/>
    <w:rsid w:val="5C097C4E"/>
    <w:rsid w:val="5C1A3A93"/>
    <w:rsid w:val="5C235386"/>
    <w:rsid w:val="5C3B6CFC"/>
    <w:rsid w:val="5C4C2CF4"/>
    <w:rsid w:val="5C6B1600"/>
    <w:rsid w:val="5C7906A3"/>
    <w:rsid w:val="5C7D70D1"/>
    <w:rsid w:val="5C8542A8"/>
    <w:rsid w:val="5CA4500A"/>
    <w:rsid w:val="5CA6294E"/>
    <w:rsid w:val="5CD0179D"/>
    <w:rsid w:val="5CDB3358"/>
    <w:rsid w:val="5CED4E0C"/>
    <w:rsid w:val="5D034EE9"/>
    <w:rsid w:val="5D0366E8"/>
    <w:rsid w:val="5D0A06B6"/>
    <w:rsid w:val="5D1307E8"/>
    <w:rsid w:val="5D212A05"/>
    <w:rsid w:val="5D28584C"/>
    <w:rsid w:val="5D2F4802"/>
    <w:rsid w:val="5D3444E6"/>
    <w:rsid w:val="5D3F0BDF"/>
    <w:rsid w:val="5D5B7098"/>
    <w:rsid w:val="5D634782"/>
    <w:rsid w:val="5D6542F7"/>
    <w:rsid w:val="5D6E1B86"/>
    <w:rsid w:val="5D725A84"/>
    <w:rsid w:val="5D8A2CFF"/>
    <w:rsid w:val="5D960EE9"/>
    <w:rsid w:val="5D9A0CFA"/>
    <w:rsid w:val="5DD14397"/>
    <w:rsid w:val="5DD3123F"/>
    <w:rsid w:val="5DD71C7A"/>
    <w:rsid w:val="5DD734EC"/>
    <w:rsid w:val="5DDA4F5F"/>
    <w:rsid w:val="5DE33644"/>
    <w:rsid w:val="5DE71C2A"/>
    <w:rsid w:val="5DEC05A1"/>
    <w:rsid w:val="5DEE0433"/>
    <w:rsid w:val="5DFD51DB"/>
    <w:rsid w:val="5E0B0848"/>
    <w:rsid w:val="5E1D4A67"/>
    <w:rsid w:val="5E1F2E4C"/>
    <w:rsid w:val="5E237029"/>
    <w:rsid w:val="5E3A3BD1"/>
    <w:rsid w:val="5E5203B8"/>
    <w:rsid w:val="5E5D7D0E"/>
    <w:rsid w:val="5E6A5399"/>
    <w:rsid w:val="5E71373F"/>
    <w:rsid w:val="5E717191"/>
    <w:rsid w:val="5E830708"/>
    <w:rsid w:val="5E831398"/>
    <w:rsid w:val="5E85633A"/>
    <w:rsid w:val="5E921A45"/>
    <w:rsid w:val="5E96754E"/>
    <w:rsid w:val="5E975993"/>
    <w:rsid w:val="5EB51FDE"/>
    <w:rsid w:val="5EBA4472"/>
    <w:rsid w:val="5EC3227D"/>
    <w:rsid w:val="5ECA3D37"/>
    <w:rsid w:val="5EE153F8"/>
    <w:rsid w:val="5EED7893"/>
    <w:rsid w:val="5EFB2125"/>
    <w:rsid w:val="5EFB6F0A"/>
    <w:rsid w:val="5F0A3A61"/>
    <w:rsid w:val="5F4443E1"/>
    <w:rsid w:val="5F683B6E"/>
    <w:rsid w:val="5F7E0CFE"/>
    <w:rsid w:val="5F865A84"/>
    <w:rsid w:val="5F875C0C"/>
    <w:rsid w:val="5F8F0B9E"/>
    <w:rsid w:val="5F8F267A"/>
    <w:rsid w:val="5FA1086E"/>
    <w:rsid w:val="5FB7185B"/>
    <w:rsid w:val="5FB94C48"/>
    <w:rsid w:val="5FDE327E"/>
    <w:rsid w:val="5FF37587"/>
    <w:rsid w:val="5FFE57B7"/>
    <w:rsid w:val="60060CD5"/>
    <w:rsid w:val="60085AA3"/>
    <w:rsid w:val="600E362B"/>
    <w:rsid w:val="60183392"/>
    <w:rsid w:val="60197221"/>
    <w:rsid w:val="601A4CB1"/>
    <w:rsid w:val="602C236D"/>
    <w:rsid w:val="603967D7"/>
    <w:rsid w:val="603D3325"/>
    <w:rsid w:val="604040A8"/>
    <w:rsid w:val="60434CA4"/>
    <w:rsid w:val="60470CE3"/>
    <w:rsid w:val="60481DF5"/>
    <w:rsid w:val="606711B4"/>
    <w:rsid w:val="60673C40"/>
    <w:rsid w:val="606A52D4"/>
    <w:rsid w:val="607C3753"/>
    <w:rsid w:val="60873851"/>
    <w:rsid w:val="608D1D4E"/>
    <w:rsid w:val="6092569C"/>
    <w:rsid w:val="60A108AA"/>
    <w:rsid w:val="60A601A2"/>
    <w:rsid w:val="60A628DC"/>
    <w:rsid w:val="60AD0357"/>
    <w:rsid w:val="60B004BE"/>
    <w:rsid w:val="60BA604C"/>
    <w:rsid w:val="60C302BA"/>
    <w:rsid w:val="60C30855"/>
    <w:rsid w:val="60C338B1"/>
    <w:rsid w:val="60D4742F"/>
    <w:rsid w:val="60D95276"/>
    <w:rsid w:val="60E06DEB"/>
    <w:rsid w:val="60E51841"/>
    <w:rsid w:val="61110088"/>
    <w:rsid w:val="61421EFD"/>
    <w:rsid w:val="615C5041"/>
    <w:rsid w:val="617A6EE7"/>
    <w:rsid w:val="6182260C"/>
    <w:rsid w:val="61845D27"/>
    <w:rsid w:val="61AD68BC"/>
    <w:rsid w:val="61B173D2"/>
    <w:rsid w:val="61D43A2B"/>
    <w:rsid w:val="61F169B1"/>
    <w:rsid w:val="61FF316E"/>
    <w:rsid w:val="621542CB"/>
    <w:rsid w:val="624263A2"/>
    <w:rsid w:val="625272C3"/>
    <w:rsid w:val="625E1315"/>
    <w:rsid w:val="62715337"/>
    <w:rsid w:val="6280204D"/>
    <w:rsid w:val="6290769B"/>
    <w:rsid w:val="62943D08"/>
    <w:rsid w:val="62A05735"/>
    <w:rsid w:val="62A411F8"/>
    <w:rsid w:val="62AE1E98"/>
    <w:rsid w:val="62BA7A46"/>
    <w:rsid w:val="62C376AC"/>
    <w:rsid w:val="62CE13CB"/>
    <w:rsid w:val="62D2197B"/>
    <w:rsid w:val="62F6011A"/>
    <w:rsid w:val="63132DA9"/>
    <w:rsid w:val="6327422B"/>
    <w:rsid w:val="633B249F"/>
    <w:rsid w:val="63552D76"/>
    <w:rsid w:val="6359778B"/>
    <w:rsid w:val="635B63E3"/>
    <w:rsid w:val="638C3395"/>
    <w:rsid w:val="63B82D87"/>
    <w:rsid w:val="63BA3154"/>
    <w:rsid w:val="63BD15D4"/>
    <w:rsid w:val="63CA2E8B"/>
    <w:rsid w:val="63D4153E"/>
    <w:rsid w:val="63DC7755"/>
    <w:rsid w:val="63E43D21"/>
    <w:rsid w:val="63F24E5E"/>
    <w:rsid w:val="63F47D2A"/>
    <w:rsid w:val="63F8711F"/>
    <w:rsid w:val="63FE2D33"/>
    <w:rsid w:val="64046427"/>
    <w:rsid w:val="6406700F"/>
    <w:rsid w:val="64264A79"/>
    <w:rsid w:val="64304E58"/>
    <w:rsid w:val="64311867"/>
    <w:rsid w:val="64391ED3"/>
    <w:rsid w:val="6445632E"/>
    <w:rsid w:val="64732BBC"/>
    <w:rsid w:val="64742B63"/>
    <w:rsid w:val="647746B8"/>
    <w:rsid w:val="647E320F"/>
    <w:rsid w:val="647E661E"/>
    <w:rsid w:val="648939AA"/>
    <w:rsid w:val="648C635C"/>
    <w:rsid w:val="649B1AC2"/>
    <w:rsid w:val="64A40C8F"/>
    <w:rsid w:val="64A7467B"/>
    <w:rsid w:val="64B53322"/>
    <w:rsid w:val="64C61AF8"/>
    <w:rsid w:val="64C86505"/>
    <w:rsid w:val="64E21C39"/>
    <w:rsid w:val="64FE700F"/>
    <w:rsid w:val="6500327F"/>
    <w:rsid w:val="6506609B"/>
    <w:rsid w:val="65083216"/>
    <w:rsid w:val="650B1D5D"/>
    <w:rsid w:val="651926DA"/>
    <w:rsid w:val="653E59C1"/>
    <w:rsid w:val="65460728"/>
    <w:rsid w:val="6569295B"/>
    <w:rsid w:val="657A6338"/>
    <w:rsid w:val="65822810"/>
    <w:rsid w:val="65870C45"/>
    <w:rsid w:val="659705FF"/>
    <w:rsid w:val="65AA6346"/>
    <w:rsid w:val="65B56C47"/>
    <w:rsid w:val="65B8262E"/>
    <w:rsid w:val="65BC15EE"/>
    <w:rsid w:val="65CE675C"/>
    <w:rsid w:val="65D23D59"/>
    <w:rsid w:val="65D4773F"/>
    <w:rsid w:val="65D6029D"/>
    <w:rsid w:val="65DC5939"/>
    <w:rsid w:val="65DC7985"/>
    <w:rsid w:val="65E80C98"/>
    <w:rsid w:val="65F14641"/>
    <w:rsid w:val="65F5655C"/>
    <w:rsid w:val="65F64F18"/>
    <w:rsid w:val="66052F43"/>
    <w:rsid w:val="6607463F"/>
    <w:rsid w:val="6609487E"/>
    <w:rsid w:val="661D25CE"/>
    <w:rsid w:val="66206CF2"/>
    <w:rsid w:val="66265846"/>
    <w:rsid w:val="66287C9C"/>
    <w:rsid w:val="663433DE"/>
    <w:rsid w:val="664805B8"/>
    <w:rsid w:val="665B55EA"/>
    <w:rsid w:val="66641D58"/>
    <w:rsid w:val="66655F85"/>
    <w:rsid w:val="667C7AEC"/>
    <w:rsid w:val="66984358"/>
    <w:rsid w:val="669B7C76"/>
    <w:rsid w:val="66A200F8"/>
    <w:rsid w:val="66A30EC2"/>
    <w:rsid w:val="66AA4BA8"/>
    <w:rsid w:val="66C56058"/>
    <w:rsid w:val="66C955BD"/>
    <w:rsid w:val="66DC317D"/>
    <w:rsid w:val="66E617C5"/>
    <w:rsid w:val="66E73408"/>
    <w:rsid w:val="670C6D27"/>
    <w:rsid w:val="670D67CE"/>
    <w:rsid w:val="67105BAB"/>
    <w:rsid w:val="671B1631"/>
    <w:rsid w:val="67302DC3"/>
    <w:rsid w:val="674318B2"/>
    <w:rsid w:val="674D4B22"/>
    <w:rsid w:val="67570422"/>
    <w:rsid w:val="675D31B4"/>
    <w:rsid w:val="676D2F4B"/>
    <w:rsid w:val="677A266A"/>
    <w:rsid w:val="677C1A81"/>
    <w:rsid w:val="677E7198"/>
    <w:rsid w:val="678A426A"/>
    <w:rsid w:val="67914BE1"/>
    <w:rsid w:val="67A01F16"/>
    <w:rsid w:val="67B163D1"/>
    <w:rsid w:val="67BB3861"/>
    <w:rsid w:val="67D81594"/>
    <w:rsid w:val="67F45538"/>
    <w:rsid w:val="680239EB"/>
    <w:rsid w:val="680722DA"/>
    <w:rsid w:val="681B2D73"/>
    <w:rsid w:val="682211D1"/>
    <w:rsid w:val="682869C4"/>
    <w:rsid w:val="685C6395"/>
    <w:rsid w:val="686318DD"/>
    <w:rsid w:val="68635145"/>
    <w:rsid w:val="68643DC8"/>
    <w:rsid w:val="687746EA"/>
    <w:rsid w:val="687F607E"/>
    <w:rsid w:val="689A41FB"/>
    <w:rsid w:val="689D22F4"/>
    <w:rsid w:val="689E57F0"/>
    <w:rsid w:val="68A34C5C"/>
    <w:rsid w:val="68BD1028"/>
    <w:rsid w:val="68E24981"/>
    <w:rsid w:val="69123F86"/>
    <w:rsid w:val="691C1D81"/>
    <w:rsid w:val="691C3525"/>
    <w:rsid w:val="69216128"/>
    <w:rsid w:val="69280874"/>
    <w:rsid w:val="695D6B21"/>
    <w:rsid w:val="69611EE7"/>
    <w:rsid w:val="696C708E"/>
    <w:rsid w:val="696F4D5D"/>
    <w:rsid w:val="69850877"/>
    <w:rsid w:val="69856F5F"/>
    <w:rsid w:val="698C13C5"/>
    <w:rsid w:val="69F0745A"/>
    <w:rsid w:val="6A0C1DE7"/>
    <w:rsid w:val="6A0D20F2"/>
    <w:rsid w:val="6A1D59EC"/>
    <w:rsid w:val="6A247F72"/>
    <w:rsid w:val="6A3E2393"/>
    <w:rsid w:val="6A435B92"/>
    <w:rsid w:val="6A444DB8"/>
    <w:rsid w:val="6A4D4828"/>
    <w:rsid w:val="6A516AC3"/>
    <w:rsid w:val="6A52704C"/>
    <w:rsid w:val="6A5303BA"/>
    <w:rsid w:val="6A677080"/>
    <w:rsid w:val="6A711183"/>
    <w:rsid w:val="6A7B4B9C"/>
    <w:rsid w:val="6A7D43A8"/>
    <w:rsid w:val="6A926A44"/>
    <w:rsid w:val="6AA03DC6"/>
    <w:rsid w:val="6AAF014C"/>
    <w:rsid w:val="6AC07690"/>
    <w:rsid w:val="6ACB082B"/>
    <w:rsid w:val="6AD3247E"/>
    <w:rsid w:val="6ADC0426"/>
    <w:rsid w:val="6AE4699C"/>
    <w:rsid w:val="6AEF65CE"/>
    <w:rsid w:val="6B09696B"/>
    <w:rsid w:val="6B0D56D0"/>
    <w:rsid w:val="6B2B0EFD"/>
    <w:rsid w:val="6B2C13E4"/>
    <w:rsid w:val="6B410613"/>
    <w:rsid w:val="6B4B0A4C"/>
    <w:rsid w:val="6B4B36C9"/>
    <w:rsid w:val="6B4E75E6"/>
    <w:rsid w:val="6B50310B"/>
    <w:rsid w:val="6B5045E2"/>
    <w:rsid w:val="6B5B3B9E"/>
    <w:rsid w:val="6B6246FA"/>
    <w:rsid w:val="6B736A2E"/>
    <w:rsid w:val="6B7E5928"/>
    <w:rsid w:val="6B874340"/>
    <w:rsid w:val="6B884219"/>
    <w:rsid w:val="6B90781F"/>
    <w:rsid w:val="6BA6663C"/>
    <w:rsid w:val="6BA9194F"/>
    <w:rsid w:val="6BE727F5"/>
    <w:rsid w:val="6BF1380D"/>
    <w:rsid w:val="6BFA240B"/>
    <w:rsid w:val="6C0858B3"/>
    <w:rsid w:val="6C240DF3"/>
    <w:rsid w:val="6C3E6F2B"/>
    <w:rsid w:val="6C45610F"/>
    <w:rsid w:val="6C59472D"/>
    <w:rsid w:val="6C5A4564"/>
    <w:rsid w:val="6C603744"/>
    <w:rsid w:val="6C637CCF"/>
    <w:rsid w:val="6C7802EB"/>
    <w:rsid w:val="6C89456C"/>
    <w:rsid w:val="6CA20D5B"/>
    <w:rsid w:val="6CA46714"/>
    <w:rsid w:val="6CD63FB3"/>
    <w:rsid w:val="6D056EA6"/>
    <w:rsid w:val="6D1766A9"/>
    <w:rsid w:val="6D221E52"/>
    <w:rsid w:val="6D227835"/>
    <w:rsid w:val="6D2834C8"/>
    <w:rsid w:val="6D2F1F0B"/>
    <w:rsid w:val="6D3C6626"/>
    <w:rsid w:val="6D5D0DB5"/>
    <w:rsid w:val="6D6855B1"/>
    <w:rsid w:val="6D7B4AB7"/>
    <w:rsid w:val="6D836C02"/>
    <w:rsid w:val="6D89784B"/>
    <w:rsid w:val="6D9057BE"/>
    <w:rsid w:val="6D9E0566"/>
    <w:rsid w:val="6DF43BD4"/>
    <w:rsid w:val="6E0E1FAB"/>
    <w:rsid w:val="6E1E0125"/>
    <w:rsid w:val="6E2143FB"/>
    <w:rsid w:val="6E317378"/>
    <w:rsid w:val="6E3E5591"/>
    <w:rsid w:val="6E4215C6"/>
    <w:rsid w:val="6E4B0158"/>
    <w:rsid w:val="6E4D611F"/>
    <w:rsid w:val="6E567C9E"/>
    <w:rsid w:val="6E635028"/>
    <w:rsid w:val="6E636A71"/>
    <w:rsid w:val="6E685B0A"/>
    <w:rsid w:val="6E73404A"/>
    <w:rsid w:val="6E7355AA"/>
    <w:rsid w:val="6E7D300B"/>
    <w:rsid w:val="6E920B5B"/>
    <w:rsid w:val="6E990B16"/>
    <w:rsid w:val="6E9A5652"/>
    <w:rsid w:val="6EB169D3"/>
    <w:rsid w:val="6EB829B1"/>
    <w:rsid w:val="6EB978A9"/>
    <w:rsid w:val="6ECC3A24"/>
    <w:rsid w:val="6ED0487A"/>
    <w:rsid w:val="6ED86D3E"/>
    <w:rsid w:val="6EDB20D8"/>
    <w:rsid w:val="6EE9744F"/>
    <w:rsid w:val="6EEC3F7C"/>
    <w:rsid w:val="6EF3602C"/>
    <w:rsid w:val="6EFE1485"/>
    <w:rsid w:val="6F031F8E"/>
    <w:rsid w:val="6F0D382C"/>
    <w:rsid w:val="6F174D49"/>
    <w:rsid w:val="6F2632E8"/>
    <w:rsid w:val="6F30363A"/>
    <w:rsid w:val="6F3316E5"/>
    <w:rsid w:val="6F383D06"/>
    <w:rsid w:val="6F3F40F9"/>
    <w:rsid w:val="6F5736D0"/>
    <w:rsid w:val="6F6F14E1"/>
    <w:rsid w:val="6FA629D4"/>
    <w:rsid w:val="6FA75ADB"/>
    <w:rsid w:val="6FB77ED4"/>
    <w:rsid w:val="6FBD4D2F"/>
    <w:rsid w:val="6FBF4710"/>
    <w:rsid w:val="6FC9109F"/>
    <w:rsid w:val="6FD84F2A"/>
    <w:rsid w:val="6FDB518F"/>
    <w:rsid w:val="6FE529ED"/>
    <w:rsid w:val="6FF30472"/>
    <w:rsid w:val="6FF733A7"/>
    <w:rsid w:val="70003DD9"/>
    <w:rsid w:val="70072915"/>
    <w:rsid w:val="70172090"/>
    <w:rsid w:val="70195E88"/>
    <w:rsid w:val="701D43BA"/>
    <w:rsid w:val="702B6F43"/>
    <w:rsid w:val="7032079E"/>
    <w:rsid w:val="703C186A"/>
    <w:rsid w:val="703E7AC4"/>
    <w:rsid w:val="70570007"/>
    <w:rsid w:val="705843B4"/>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867894"/>
    <w:rsid w:val="719F7A78"/>
    <w:rsid w:val="71C7540C"/>
    <w:rsid w:val="71F64A63"/>
    <w:rsid w:val="71F870B8"/>
    <w:rsid w:val="72021233"/>
    <w:rsid w:val="720B2A1D"/>
    <w:rsid w:val="721D0086"/>
    <w:rsid w:val="72463145"/>
    <w:rsid w:val="72502F9F"/>
    <w:rsid w:val="725817D3"/>
    <w:rsid w:val="726E6AD4"/>
    <w:rsid w:val="727C422C"/>
    <w:rsid w:val="7292045A"/>
    <w:rsid w:val="72974DBE"/>
    <w:rsid w:val="72A20C20"/>
    <w:rsid w:val="72AC5E95"/>
    <w:rsid w:val="72C13ED7"/>
    <w:rsid w:val="72CF1AC7"/>
    <w:rsid w:val="72E42AFA"/>
    <w:rsid w:val="72E85578"/>
    <w:rsid w:val="72EB4466"/>
    <w:rsid w:val="72FD426E"/>
    <w:rsid w:val="73043CFC"/>
    <w:rsid w:val="732B736C"/>
    <w:rsid w:val="732C334F"/>
    <w:rsid w:val="73463BC8"/>
    <w:rsid w:val="734F0C79"/>
    <w:rsid w:val="734F4185"/>
    <w:rsid w:val="73520620"/>
    <w:rsid w:val="7363274A"/>
    <w:rsid w:val="73691A4A"/>
    <w:rsid w:val="7371152B"/>
    <w:rsid w:val="73777B4D"/>
    <w:rsid w:val="738A6895"/>
    <w:rsid w:val="73917325"/>
    <w:rsid w:val="7395427D"/>
    <w:rsid w:val="73BC7089"/>
    <w:rsid w:val="73BE7067"/>
    <w:rsid w:val="73E52294"/>
    <w:rsid w:val="73EC5464"/>
    <w:rsid w:val="73F71F74"/>
    <w:rsid w:val="73FF2D64"/>
    <w:rsid w:val="74137154"/>
    <w:rsid w:val="7421310D"/>
    <w:rsid w:val="74257F79"/>
    <w:rsid w:val="74273820"/>
    <w:rsid w:val="7427471C"/>
    <w:rsid w:val="74334155"/>
    <w:rsid w:val="74355B0B"/>
    <w:rsid w:val="743C7157"/>
    <w:rsid w:val="74416F54"/>
    <w:rsid w:val="744B354F"/>
    <w:rsid w:val="7450294E"/>
    <w:rsid w:val="74543139"/>
    <w:rsid w:val="746B732F"/>
    <w:rsid w:val="746E18CB"/>
    <w:rsid w:val="746F3904"/>
    <w:rsid w:val="748D52FA"/>
    <w:rsid w:val="74987B05"/>
    <w:rsid w:val="74993216"/>
    <w:rsid w:val="749F1196"/>
    <w:rsid w:val="74B043AF"/>
    <w:rsid w:val="74B44784"/>
    <w:rsid w:val="74B808BF"/>
    <w:rsid w:val="74E263AE"/>
    <w:rsid w:val="74E4756E"/>
    <w:rsid w:val="74ED19FF"/>
    <w:rsid w:val="75084E8F"/>
    <w:rsid w:val="7509261E"/>
    <w:rsid w:val="75202656"/>
    <w:rsid w:val="75752B04"/>
    <w:rsid w:val="757569A2"/>
    <w:rsid w:val="758910BB"/>
    <w:rsid w:val="758E6EEF"/>
    <w:rsid w:val="75955DA9"/>
    <w:rsid w:val="75977910"/>
    <w:rsid w:val="759F2A35"/>
    <w:rsid w:val="75B15C41"/>
    <w:rsid w:val="75C7142D"/>
    <w:rsid w:val="75D12923"/>
    <w:rsid w:val="75EA364B"/>
    <w:rsid w:val="75F20996"/>
    <w:rsid w:val="75F96973"/>
    <w:rsid w:val="76123E1D"/>
    <w:rsid w:val="761270F3"/>
    <w:rsid w:val="762A17C0"/>
    <w:rsid w:val="762E65D2"/>
    <w:rsid w:val="762E6798"/>
    <w:rsid w:val="76425118"/>
    <w:rsid w:val="764838B9"/>
    <w:rsid w:val="764B15DA"/>
    <w:rsid w:val="764C09B4"/>
    <w:rsid w:val="764F5A52"/>
    <w:rsid w:val="766A4A0D"/>
    <w:rsid w:val="7692667A"/>
    <w:rsid w:val="76982273"/>
    <w:rsid w:val="769A7352"/>
    <w:rsid w:val="76A177B8"/>
    <w:rsid w:val="76AD2761"/>
    <w:rsid w:val="76B64E53"/>
    <w:rsid w:val="76B8001A"/>
    <w:rsid w:val="76B81599"/>
    <w:rsid w:val="76BB2F21"/>
    <w:rsid w:val="76BC314A"/>
    <w:rsid w:val="76CE0AE7"/>
    <w:rsid w:val="76CF29D3"/>
    <w:rsid w:val="76E676AC"/>
    <w:rsid w:val="76EC51FD"/>
    <w:rsid w:val="76F410B8"/>
    <w:rsid w:val="76F70779"/>
    <w:rsid w:val="771B67DF"/>
    <w:rsid w:val="771D0820"/>
    <w:rsid w:val="773E615E"/>
    <w:rsid w:val="77451578"/>
    <w:rsid w:val="774A5F26"/>
    <w:rsid w:val="77692EA3"/>
    <w:rsid w:val="77825248"/>
    <w:rsid w:val="7785098B"/>
    <w:rsid w:val="77870D91"/>
    <w:rsid w:val="778A3229"/>
    <w:rsid w:val="779258CC"/>
    <w:rsid w:val="7794068F"/>
    <w:rsid w:val="779A096B"/>
    <w:rsid w:val="779B52FF"/>
    <w:rsid w:val="77A00E75"/>
    <w:rsid w:val="77A80D17"/>
    <w:rsid w:val="77B841F3"/>
    <w:rsid w:val="77C078B1"/>
    <w:rsid w:val="77CE3749"/>
    <w:rsid w:val="77E66E3C"/>
    <w:rsid w:val="77F3789A"/>
    <w:rsid w:val="78010AD6"/>
    <w:rsid w:val="780326B9"/>
    <w:rsid w:val="782E5092"/>
    <w:rsid w:val="7833711D"/>
    <w:rsid w:val="78460D63"/>
    <w:rsid w:val="78497C2E"/>
    <w:rsid w:val="78502D35"/>
    <w:rsid w:val="7854087B"/>
    <w:rsid w:val="78557CCB"/>
    <w:rsid w:val="78586A09"/>
    <w:rsid w:val="786A4053"/>
    <w:rsid w:val="78782A0D"/>
    <w:rsid w:val="78785A2F"/>
    <w:rsid w:val="787B5060"/>
    <w:rsid w:val="788720E7"/>
    <w:rsid w:val="78A90B04"/>
    <w:rsid w:val="78BB4C2C"/>
    <w:rsid w:val="78C53485"/>
    <w:rsid w:val="78C76A01"/>
    <w:rsid w:val="78E32676"/>
    <w:rsid w:val="78EC45D8"/>
    <w:rsid w:val="78EC6DF0"/>
    <w:rsid w:val="78F5335B"/>
    <w:rsid w:val="7908003E"/>
    <w:rsid w:val="791843E7"/>
    <w:rsid w:val="79395A92"/>
    <w:rsid w:val="794008FB"/>
    <w:rsid w:val="794708D9"/>
    <w:rsid w:val="794B21A1"/>
    <w:rsid w:val="79594F10"/>
    <w:rsid w:val="7964574A"/>
    <w:rsid w:val="79767F2B"/>
    <w:rsid w:val="79795837"/>
    <w:rsid w:val="79804706"/>
    <w:rsid w:val="79941CF2"/>
    <w:rsid w:val="79973382"/>
    <w:rsid w:val="79D33056"/>
    <w:rsid w:val="79D715DF"/>
    <w:rsid w:val="79EC0256"/>
    <w:rsid w:val="79F60153"/>
    <w:rsid w:val="79FB6E2C"/>
    <w:rsid w:val="7A08077C"/>
    <w:rsid w:val="7A36322F"/>
    <w:rsid w:val="7A4C2D60"/>
    <w:rsid w:val="7A6E4BF5"/>
    <w:rsid w:val="7A851D5D"/>
    <w:rsid w:val="7A8A2267"/>
    <w:rsid w:val="7A931BF5"/>
    <w:rsid w:val="7AAA2B36"/>
    <w:rsid w:val="7AB53126"/>
    <w:rsid w:val="7AB76FE8"/>
    <w:rsid w:val="7AD268E2"/>
    <w:rsid w:val="7ADC0B33"/>
    <w:rsid w:val="7AE14C19"/>
    <w:rsid w:val="7AEA174E"/>
    <w:rsid w:val="7AF937C8"/>
    <w:rsid w:val="7B0D43B8"/>
    <w:rsid w:val="7B274176"/>
    <w:rsid w:val="7B306163"/>
    <w:rsid w:val="7B3E17AA"/>
    <w:rsid w:val="7B401C79"/>
    <w:rsid w:val="7B440ED6"/>
    <w:rsid w:val="7B4678D7"/>
    <w:rsid w:val="7B4B2A93"/>
    <w:rsid w:val="7B4E7AC0"/>
    <w:rsid w:val="7B527515"/>
    <w:rsid w:val="7B690644"/>
    <w:rsid w:val="7B890A24"/>
    <w:rsid w:val="7BAA485C"/>
    <w:rsid w:val="7BAD1591"/>
    <w:rsid w:val="7BBA4D5F"/>
    <w:rsid w:val="7BD3716B"/>
    <w:rsid w:val="7BE63F7E"/>
    <w:rsid w:val="7BEC2711"/>
    <w:rsid w:val="7BF55850"/>
    <w:rsid w:val="7BF97D59"/>
    <w:rsid w:val="7BFA70AC"/>
    <w:rsid w:val="7C1054B7"/>
    <w:rsid w:val="7C166D00"/>
    <w:rsid w:val="7C26369C"/>
    <w:rsid w:val="7C2A465C"/>
    <w:rsid w:val="7C305879"/>
    <w:rsid w:val="7C34521A"/>
    <w:rsid w:val="7C4A2BD1"/>
    <w:rsid w:val="7C576C70"/>
    <w:rsid w:val="7C6A1E62"/>
    <w:rsid w:val="7C6E4349"/>
    <w:rsid w:val="7C77043F"/>
    <w:rsid w:val="7C8A7CDC"/>
    <w:rsid w:val="7C9E5A24"/>
    <w:rsid w:val="7CA51179"/>
    <w:rsid w:val="7CB4006B"/>
    <w:rsid w:val="7CB93ABB"/>
    <w:rsid w:val="7CE656F0"/>
    <w:rsid w:val="7CED34FF"/>
    <w:rsid w:val="7CEE5458"/>
    <w:rsid w:val="7CF26588"/>
    <w:rsid w:val="7CF565D7"/>
    <w:rsid w:val="7CFA3A46"/>
    <w:rsid w:val="7D0F5720"/>
    <w:rsid w:val="7D2A51F8"/>
    <w:rsid w:val="7D2D7892"/>
    <w:rsid w:val="7D2E198F"/>
    <w:rsid w:val="7D3B3737"/>
    <w:rsid w:val="7D3D73AF"/>
    <w:rsid w:val="7D512A10"/>
    <w:rsid w:val="7D5B27C9"/>
    <w:rsid w:val="7D62117D"/>
    <w:rsid w:val="7D6B7F02"/>
    <w:rsid w:val="7D834A16"/>
    <w:rsid w:val="7D9D0A97"/>
    <w:rsid w:val="7D9D438F"/>
    <w:rsid w:val="7DA514D2"/>
    <w:rsid w:val="7DA6762C"/>
    <w:rsid w:val="7DB35179"/>
    <w:rsid w:val="7DC71D05"/>
    <w:rsid w:val="7DCD1A27"/>
    <w:rsid w:val="7DCD4EB5"/>
    <w:rsid w:val="7DEB356D"/>
    <w:rsid w:val="7E090313"/>
    <w:rsid w:val="7E274F21"/>
    <w:rsid w:val="7E3E0FEC"/>
    <w:rsid w:val="7E3E1EF2"/>
    <w:rsid w:val="7E5B03EF"/>
    <w:rsid w:val="7E5C1ABA"/>
    <w:rsid w:val="7E61281D"/>
    <w:rsid w:val="7E622778"/>
    <w:rsid w:val="7E756346"/>
    <w:rsid w:val="7E7F379C"/>
    <w:rsid w:val="7E85174A"/>
    <w:rsid w:val="7E8B68B9"/>
    <w:rsid w:val="7EAA7C26"/>
    <w:rsid w:val="7EAF1FAA"/>
    <w:rsid w:val="7EB4653A"/>
    <w:rsid w:val="7ECA4601"/>
    <w:rsid w:val="7EDC22AD"/>
    <w:rsid w:val="7EE34086"/>
    <w:rsid w:val="7EE55F89"/>
    <w:rsid w:val="7EEB5719"/>
    <w:rsid w:val="7EF215E8"/>
    <w:rsid w:val="7EF525E1"/>
    <w:rsid w:val="7EF74FC9"/>
    <w:rsid w:val="7F000B6A"/>
    <w:rsid w:val="7F0B5962"/>
    <w:rsid w:val="7F0C2035"/>
    <w:rsid w:val="7F0F7992"/>
    <w:rsid w:val="7F1B0865"/>
    <w:rsid w:val="7F271AA3"/>
    <w:rsid w:val="7F2E235B"/>
    <w:rsid w:val="7F3A41D1"/>
    <w:rsid w:val="7F4A6401"/>
    <w:rsid w:val="7F542B37"/>
    <w:rsid w:val="7F607BAC"/>
    <w:rsid w:val="7F6139B7"/>
    <w:rsid w:val="7F6B2248"/>
    <w:rsid w:val="7F7D7A8E"/>
    <w:rsid w:val="7F872588"/>
    <w:rsid w:val="7F8725BA"/>
    <w:rsid w:val="7F8C6A8F"/>
    <w:rsid w:val="7F9C175D"/>
    <w:rsid w:val="7FA85877"/>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unhideWhenUsed/>
    <w:qFormat/>
    <w:uiPriority w:val="99"/>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 Bullets"/>
    <w:basedOn w:val="1"/>
    <w:next w:val="33"/>
    <w:qFormat/>
    <w:uiPriority w:val="34"/>
    <w:pPr>
      <w:numPr>
        <w:ilvl w:val="0"/>
        <w:numId w:val="7"/>
      </w:numPr>
      <w:spacing w:after="120"/>
    </w:pPr>
    <w:rPr>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7</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2023-04-10T13:18:07Z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